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rtl w:val="0"/>
          <w:lang w:val="zh-CN" w:eastAsia="zh-CN"/>
        </w:rPr>
      </w:pPr>
    </w:p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0" w:firstLineChars="0"/>
        <w:jc w:val="center"/>
        <w:textAlignment w:val="auto"/>
        <w:rPr>
          <w:rFonts w:hint="eastAsia" w:ascii="方正小标宋_GBK" w:hAnsi="方正小标宋_GBK" w:eastAsia="方正小标宋_GBK" w:cs="方正小标宋_GBK"/>
          <w:sz w:val="44"/>
          <w:szCs w:val="44"/>
          <w:rtl w:val="0"/>
          <w:lang w:val="zh-CN" w:eastAsia="zh-CN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  <w:rtl w:val="0"/>
          <w:lang w:val="zh-CN" w:eastAsia="zh-CN"/>
        </w:rPr>
        <w:t>石家庄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rtl w:val="0"/>
          <w:lang w:val="en-US" w:eastAsia="zh-CN"/>
        </w:rPr>
        <w:t>市</w:t>
      </w:r>
      <w:r>
        <w:rPr>
          <w:rFonts w:hint="eastAsia" w:ascii="方正小标宋_GBK" w:hAnsi="方正小标宋_GBK" w:eastAsia="方正小标宋_GBK" w:cs="方正小标宋_GBK"/>
          <w:sz w:val="44"/>
          <w:szCs w:val="44"/>
          <w:rtl w:val="0"/>
          <w:lang w:val="zh-CN" w:eastAsia="zh-CN"/>
        </w:rPr>
        <w:t>装修垃圾全链条管理体系建设方案</w:t>
      </w:r>
    </w:p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0" w:firstLineChars="0"/>
        <w:jc w:val="center"/>
        <w:textAlignment w:val="auto"/>
        <w:rPr>
          <w:rFonts w:hint="eastAsia" w:ascii="楷体" w:hAnsi="楷体" w:eastAsia="楷体" w:cs="楷体"/>
          <w:sz w:val="28"/>
          <w:szCs w:val="28"/>
          <w:rtl w:val="0"/>
          <w:lang w:val="en-US" w:eastAsia="zh-CN"/>
        </w:rPr>
      </w:pPr>
      <w:r>
        <w:rPr>
          <w:rFonts w:hint="eastAsia" w:ascii="楷体" w:hAnsi="楷体" w:eastAsia="楷体" w:cs="楷体"/>
          <w:sz w:val="28"/>
          <w:szCs w:val="28"/>
          <w:rtl w:val="0"/>
          <w:lang w:val="zh-CN" w:eastAsia="zh-CN"/>
        </w:rPr>
        <w:t>（</w:t>
      </w:r>
      <w:r>
        <w:rPr>
          <w:rFonts w:hint="eastAsia" w:ascii="楷体" w:hAnsi="楷体" w:eastAsia="楷体" w:cs="楷体"/>
          <w:sz w:val="28"/>
          <w:szCs w:val="28"/>
          <w:rtl w:val="0"/>
          <w:lang w:val="en-US" w:eastAsia="zh-CN"/>
        </w:rPr>
        <w:t>征求意见稿）</w:t>
      </w:r>
    </w:p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0" w:firstLineChars="0"/>
        <w:jc w:val="center"/>
        <w:textAlignment w:val="auto"/>
        <w:rPr>
          <w:rFonts w:hint="eastAsia" w:ascii="楷体" w:hAnsi="楷体" w:eastAsia="楷体" w:cs="楷体"/>
          <w:sz w:val="28"/>
          <w:szCs w:val="28"/>
          <w:rtl w:val="0"/>
          <w:lang w:val="en-US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为规范全市装修垃圾产生、收集、贮存、运输、处置全流程管理，根治装修垃圾乱堆乱放、沿途遗撒、随意倾倒、违规处置等突出问题，构建标准化、规范化、智慧化、闭环式装修垃圾治理体系，依据《中华人民共和国固体废物污染环境防治法》《城市建筑垃圾管理规定》《建筑垃圾污染控制技术规范》等法律法规及行业规范，结合石家庄市城市管理实际，制定本方案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zh-TW" w:eastAsia="zh-TW"/>
        </w:rPr>
      </w:pPr>
      <w:r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  <w:t>一、工作目标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坚持“试点先行、重点突破、分步实施、全域覆盖”的工作原则，构建“政府统筹、属地负责、物业主抓、企业履职、部门监管”的工作机制，打通装修垃圾“源头管控、规范收集、密闭运输、科学处置、智慧监管”全链条。2027年底前各县（市、区）全面建成运行规范、监管到位、处置合规、资源化利用有序的装修垃圾全链条管理体系，全面提升城市环境卫生精细化治理水平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lang w:val="zh-TW" w:eastAsia="zh-TW"/>
        </w:rPr>
      </w:pPr>
      <w:r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  <w:t>二、实施范围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城市建成区内，住宅小区、沿街门店、写字楼、商务办公楼、公共建筑等场所，依法无需办理施工许可的室内外装饰、装修、修缮、维护等零星工程所产生的装修垃圾，涵盖垃圾源头排放、现场收集、临时贮存、外运运输、终端处置、台账管理、全程监管等全流程工作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</w:pPr>
      <w:r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  <w:t>工作任务</w:t>
      </w:r>
    </w:p>
    <w:p>
      <w:pPr>
        <w:keepNext w:val="0"/>
        <w:keepLines w:val="0"/>
        <w:pageBreakBefore w:val="0"/>
        <w:framePr w:wrap="auto" w:vAnchor="margin" w:hAnchor="text" w:yAlign="inline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zh-TW" w:eastAsia="zh-TW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zh-TW" w:eastAsia="zh-TW"/>
        </w:rPr>
        <w:t>聚焦装修垃圾治理全流程短板，细化各环节操作标准、责任分工和工作要求，实现“源头可控、存放规范、运输可溯、处置合规、监管闭环”。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lang w:val="zh-TW" w:eastAsia="zh-TW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（一）细化源头管控，实现垃圾产生可管可控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en-US" w:eastAsia="zh-CN"/>
        </w:rPr>
        <w:t>1. 住宅小区源头管理</w:t>
      </w:r>
    </w:p>
    <w:p>
      <w:pPr>
        <w:keepNext w:val="0"/>
        <w:keepLines w:val="0"/>
        <w:pageBreakBefore w:val="0"/>
        <w:framePr w:wrap="auto" w:vAnchor="margin" w:hAnchor="text" w:yAlign="inline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  <w:t>有物业服务的小区，由物业服务企业为第一责任主体，明确管理人员，负责小区装修活动常态化巡查、登记、管控。业主开工装修前，要上门告知装修垃圾管理要求，明确垃圾投放标准、堆放地点、清运流程、收费标准及乱倾乱倒、违规堆放的行政处罚后果。同时，通过小区公告栏、业主群、入户告知等形式，常态化开展装修垃圾规范化处置、资源化利用宣传工作。</w:t>
      </w:r>
    </w:p>
    <w:p>
      <w:pPr>
        <w:keepNext w:val="0"/>
        <w:keepLines w:val="0"/>
        <w:pageBreakBefore w:val="0"/>
        <w:framePr w:wrap="auto" w:vAnchor="margin" w:hAnchor="text" w:yAlign="inline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  <w:t>无物业服务的老旧小区、散楼，由属地街道办事处（乡镇政府）兜底负责，安排专人对接小区装修业主，落实告知、登记、巡查、管控工作，全面承接物业缺失的源头管理职责。</w:t>
      </w:r>
    </w:p>
    <w:p>
      <w:pPr>
        <w:keepNext w:val="0"/>
        <w:keepLines w:val="0"/>
        <w:pageBreakBefore w:val="0"/>
        <w:framePr w:wrap="auto" w:vAnchor="margin" w:hAnchor="text" w:yAlign="inline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  <w:t>2. 经营性及公共建筑源头管理</w:t>
      </w:r>
    </w:p>
    <w:p>
      <w:pPr>
        <w:keepNext w:val="0"/>
        <w:keepLines w:val="0"/>
        <w:pageBreakBefore w:val="0"/>
        <w:framePr w:wrap="auto" w:vAnchor="margin" w:hAnchor="text" w:yAlign="inline"/>
        <w:shd w:val="clear" w:color="auto" w:fill="auto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emboss w:val="0"/>
          <w:imprint w:val="0"/>
          <w:vanish w:val="0"/>
          <w:sz w:val="32"/>
          <w:szCs w:val="32"/>
          <w:rtl w:val="0"/>
          <w:lang w:val="en-US" w:eastAsia="zh-CN"/>
        </w:rPr>
        <w:t>沿街门店、写字楼、办公楼、公共建筑等场所，由属地城管部门联合街道办事处（乡镇政府）开展常态化巡查排查。在场所装修施工前，对产权单位、经营管理单位、施工负责人进行一对一政策宣讲，书面告知装修垃圾规范处置要求及违法违规处置法律责任，指导其提前制定垃圾清运方案，严禁随意堆放、自行倾倒、混入生活垃圾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规范收集贮存，落实定点封闭存放标准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严格执行“袋装收集、定点堆放、围挡封闭、防尘防雨”标准，杜绝裸露堆放、混堆混放。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1. 住宅小区贮存管理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有物业服务的小区，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应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在小区非主干道、远离居民楼栋及公共活动区域，单独设置专属装修垃圾临时投放点，严禁与生活垃圾、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园林绿化等垃圾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混放。投放点设置硬质围挡封闭隔离，张贴清晰的“装修垃圾投放点”标识、禁止混放警示标识；配备防尘网、防雨布、消防器材，定期洒水降尘，及时清理积存垃圾，杜绝扬尘、异味、积水、垃圾外溢等问题。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无物业服务小区，由属地街道（乡镇）实地踏勘选址，统一设置标准化临时投放点；受场地限制无法设置固定投放点的，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落实“即产即清、直收直运”模式，严禁垃圾在小区内长时间堆放。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2. 经营性及公共建筑贮存管理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门店、写字楼、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办公楼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、公共建筑装修施工前，经营、管理或产权单位需在施工区域内划定专属临时堆放区域，做好围挡封闭、防尘防护。场地条件受限无法设置堆放点的，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提前对接清运企业，落实“即产即清、直收直运”模式，禁止占道堆放、沿街堆放。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-10" w:leftChars="0" w:firstLine="640" w:firstLineChars="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严控外运运输，实现全程闭环可追溯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所有装修垃圾必须由备案的合规运输企业承运，全程密闭运输、定点转运，全程留痕、可查可溯，坚决杜绝沿途遗撒、非法倾倒。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1. 小区垃圾清运管理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有物业服务的小区，物业企业需筛选合规备案运输企业，签订正式年度清运服务协议，明确清运频次、运输路线、处置地点、责任划分。每次清运前3个工作日，向属地城管部门完成报备，报备材料固定包含：小区名称、清运时间段、预估垃圾体量、承运企业资质、运输车辆号牌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处置去向等信息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无物业服务小区，由属地街道（乡镇）指导业主按需预约清运，全程监督清运过程。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2. 经营性及公共建筑清运管理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门店、写字楼、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办公楼、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公共建筑装修垃圾清运，由产权方、经营或管理单位对接合规运输企业签订清运协议，严格执行清运报备制度，完整报备场所名称、施工周期、垃圾产生量、承运企业、车辆及人员信息、清运时间及处置去向，未完成报备不得启动清运作业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3. 无主积存垃圾清运管理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小区内部无主积存装修垃圾，由物业服务企业兜底清运，严格落实协议签订、报备、规范运输处置要求；街巷边角、公共区域、无人管理区域的无主积存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装修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垃圾，按照属地管理原则，由街道办事处（乡镇政府）统一组织清运、报备、处置，做到存量清零、增量即清。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3" w:firstLineChars="200"/>
        <w:jc w:val="left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rtl w:val="0"/>
          <w:lang w:val="zh-CN" w:eastAsia="zh-CN"/>
        </w:rPr>
        <w:t>4. 中转站外运管理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装修垃圾中转站外运作业，需参照建筑工地出土管理标准，提前办理建筑垃圾处置核准手续，严格按照核准的运输路线、运输时间、处置地点外运，全程密闭、规范作业，严禁超范围、无手续外运。</w:t>
      </w:r>
    </w:p>
    <w:p>
      <w:pPr>
        <w:keepNext w:val="0"/>
        <w:keepLines w:val="0"/>
        <w:pageBreakBefore w:val="0"/>
        <w:framePr w:wrap="auto" w:vAnchor="margin" w:hAnchor="text" w:yAlign="inline"/>
        <w:numPr>
          <w:ilvl w:val="0"/>
          <w:numId w:val="3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-10" w:leftChars="0" w:firstLine="640" w:firstLineChars="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强化终端处置，推进资源化无害化利用</w:t>
      </w:r>
    </w:p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 w:val="0"/>
        <w:overflowPunct/>
        <w:topLinePunct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坚持“属地处置、就近消纳、分类利用、闭环管理”原则，补齐终端处置设施短板，规范处置流程，健全台账管理机制。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各县（市、区）原则上需独立建设至少1座装修垃圾分拣处置设施（不含中转站），充分兼顾辖区垃圾运距、城乡装修垃圾处置需求，合理布局设施点位。确实不具备独立建设条件的可与相邻区县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共用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，保障辖区垃圾全部合规处置。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所有装修垃圾中转站必须与具备正规资质、资源化处置能力的企业签订长期处置合作协议，所有清运垃圾必须全部转运至协议处置企业，严禁私自处置、随意倾倒、违规填埋。处置企业需对装修垃圾进行精细化分拣、分类处理，可回收物料实现资源化再生利用，不可利用垃圾按照规范无害化处置，最大限度提升垃圾资源化利用率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中转站、终端处置企业需建立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处置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台账，如实、完整记录垃圾来源、进场时间、接收重量、运输车辆、处置去向、利用方式等信息，做到一车一档、一日一结、有据可查，每月5日前将上月台账数据汇总报送属地城管部门备案，接受常态化核查。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lang w:val="zh-TW" w:eastAsia="zh-TW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（五）搭建智慧体系，实现全程动态智慧监管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探索搭建装修垃圾全链条智慧监管模块，推行电子围栏、轨迹溯源、智能预警闭环监管模式，提升监管精准度、时效性。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全面覆盖住宅小区投放点、装修垃圾中转站、终端处置场所布设电子围栏，对所有备案运输车辆实行全程轨迹监控。系统自动识别预警：运输车辆从小区驶出后，2小时内未驶入中转站或终端处置场所电子围栏范围的，立即触发平台预警，推送至属地城管执法部门。执法人员第一时间调取车辆行驶轨迹、停留记录，固定违法证据，对涉嫌沿途遗撒、中途倾倒、违规转运的运输企业及车辆依法从严查处，实现“异常即预警、违规即核查、违法即处置”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default" w:ascii="黑体" w:hAnsi="黑体" w:eastAsia="黑体" w:cs="黑体"/>
          <w:sz w:val="32"/>
          <w:szCs w:val="32"/>
          <w:lang w:val="en-US" w:eastAsia="zh-TW"/>
        </w:rPr>
      </w:pPr>
      <w:r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  <w:t>四、</w:t>
      </w:r>
      <w:r>
        <w:rPr>
          <w:rFonts w:hint="eastAsia" w:ascii="黑体" w:hAnsi="黑体" w:eastAsia="黑体" w:cs="黑体"/>
          <w:sz w:val="32"/>
          <w:szCs w:val="32"/>
          <w:rtl w:val="0"/>
          <w:lang w:val="en-US" w:eastAsia="zh-CN"/>
        </w:rPr>
        <w:t>实施步骤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按照“试点先行、总结完善、全域推广”的步骤，分三阶段稳步推进，明确各阶段时间节点、工作任务、推进标准。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（一）试点运行阶段（即日起—2026年8月31日）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长安区、新华区、桥西区、裕华区、高新区各筛选4个基础设施完善、物业规范、入住率较高的新建及成熟小区作为试点，严格按照本方案全链条标准开展装修垃圾收运、贮存、运输、处置、台账管理及智慧监管试运行工作，全程记录试点问题、工作成效、经验做法，形成试点工作台账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（二）复盘评估阶段（2026年9月1日—2026年9月30日）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对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试点工作开展全面复盘评估，重点核查源头管控、设施建设、清运报备、台账管理、执法监管、群众反馈等情况，梳理存在的短板问题，总结可复制、可推广的经验做法，修订完善方案细则、作业标准及监管机制，形成全市统一的标准化运营体系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（三）全面实施阶段（2026年10月1日—2027年12月31日）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2026年12月31日前，长安区、新华区、桥西区、裕华区、高新区全面落实装修垃圾全链条管理体系，实现辖区住宅小区、经营性场所、公共建筑全覆盖、规范化运营。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2027年12月31日前，其余各县（市、区）全面完成设施建设、制度落地、监管闭环，实现全市装修垃圾全链条规范化管理全覆盖。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</w:pPr>
      <w:r>
        <w:rPr>
          <w:rFonts w:hint="eastAsia" w:ascii="黑体" w:hAnsi="黑体" w:eastAsia="黑体" w:cs="黑体"/>
          <w:sz w:val="32"/>
          <w:szCs w:val="32"/>
          <w:rtl w:val="0"/>
          <w:lang w:val="zh-CN" w:eastAsia="zh-CN"/>
        </w:rPr>
        <w:t>五、工作要求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（一）精准遴选试点，强化试点管控</w:t>
      </w:r>
    </w:p>
    <w:p>
      <w:pPr>
        <w:keepNext w:val="0"/>
        <w:keepLines w:val="0"/>
        <w:pageBreakBefore w:val="0"/>
        <w:framePr w:wrap="auto" w:vAnchor="margin" w:hAnchor="text" w:yAlign="inline"/>
        <w:widowControl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长安区、新华区、桥西区、裕华区、高新区要严格对照试点小区遴选标准，优先选取物业规范、场地条件充足、群众配合度高、装修垃圾产生量稳定的小区。于2026年6月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X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日前，将试点小区名单、基本情况、负责人信息统一报送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至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邮箱zttj8072@126.com。试点期间实行“周检查、周通报”制度，常态化排查问题、整改短板、优化流程，确保试点工作取得实效。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（二）补齐设施短板，夯实处置基础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各县（市、区）立足辖区地域面积、人口规模、垃圾产生量、运输距离等实际，统筹城乡装修垃圾处置需求，科学规划建设装修垃圾分拣处置设施，从根本上解决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装修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垃圾无处消纳、违规处置等问题。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（三）健全联动机制，强化执法震慑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建立城管牵头、公安、住建、生态环境、属地街道联动的常态化联合执法机制，明确各部门职责，定期开展专项整治行动。重点严查无资质运输、车辆密闭不严、沿途遗撒、跨区域违规倾倒、私自处置装修垃圾、混装混运等违法违规行为。建立信用惩戒机制，对多次违规、整改不到位的运输企业，依法依规撤销备案资质、纳入行业黑名单；对违规处置的单位、个人，严格依法处罚形成长效震慑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</w:pPr>
      <w:r>
        <w:rPr>
          <w:rFonts w:hint="eastAsia" w:ascii="楷体" w:hAnsi="楷体" w:eastAsia="楷体" w:cs="楷体"/>
          <w:sz w:val="32"/>
          <w:szCs w:val="32"/>
          <w:rtl w:val="0"/>
          <w:lang w:val="zh-CN" w:eastAsia="zh-CN"/>
        </w:rPr>
        <w:t>（四）压实属地责任，强化督导</w:t>
      </w:r>
      <w:r>
        <w:rPr>
          <w:rFonts w:hint="eastAsia" w:ascii="楷体" w:hAnsi="楷体" w:eastAsia="楷体" w:cs="楷体"/>
          <w:sz w:val="32"/>
          <w:szCs w:val="32"/>
          <w:rtl w:val="0"/>
          <w:lang w:val="en-US" w:eastAsia="zh-CN"/>
        </w:rPr>
        <w:t>检查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各区县政府（管委会）为属地装修垃圾管理工作责任主体，统筹推进辖区设施建设、试点运行、全域推广、日常监管等工作。市城管局将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en-US" w:eastAsia="zh-CN"/>
        </w:rPr>
        <w:t>定期对试点工作开展情况进行督导检查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，确保各项工作落地见效。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rtl w:val="0"/>
          <w:lang w:val="zh-TW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附件：1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TW" w:eastAsia="zh-TW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试点小区清单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2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TW" w:eastAsia="zh-TW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装修垃圾运输车辆清单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TW" w:eastAsia="zh-TW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装修垃圾中转站清单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1600" w:firstLineChars="5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zh-TW" w:eastAsia="zh-TW"/>
        </w:rPr>
      </w:pP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4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TW" w:eastAsia="zh-TW"/>
        </w:rPr>
        <w:t>.</w:t>
      </w:r>
      <w:r>
        <w:rPr>
          <w:rFonts w:hint="eastAsia" w:ascii="仿宋_GB2312" w:hAnsi="仿宋_GB2312" w:eastAsia="仿宋_GB2312" w:cs="仿宋_GB2312"/>
          <w:sz w:val="32"/>
          <w:szCs w:val="32"/>
          <w:rtl w:val="0"/>
          <w:lang w:val="zh-CN" w:eastAsia="zh-CN"/>
        </w:rPr>
        <w:t>装修垃圾处置设施清单</w:t>
      </w: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ascii="仿宋" w:hAnsi="仿宋" w:eastAsia="仿宋" w:cs="仿宋"/>
          <w:sz w:val="32"/>
          <w:szCs w:val="32"/>
          <w:lang w:val="zh-TW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ascii="仿宋" w:hAnsi="仿宋" w:eastAsia="仿宋" w:cs="仿宋"/>
          <w:sz w:val="32"/>
          <w:szCs w:val="32"/>
          <w:lang w:val="zh-TW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ascii="仿宋" w:hAnsi="仿宋" w:eastAsia="仿宋" w:cs="仿宋"/>
          <w:sz w:val="32"/>
          <w:szCs w:val="32"/>
          <w:lang w:val="zh-TW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ascii="仿宋" w:hAnsi="仿宋" w:eastAsia="仿宋" w:cs="仿宋"/>
          <w:sz w:val="32"/>
          <w:szCs w:val="32"/>
          <w:lang w:val="zh-TW" w:eastAsia="zh-TW"/>
        </w:rPr>
      </w:pPr>
    </w:p>
    <w:p>
      <w:pPr>
        <w:keepNext w:val="0"/>
        <w:keepLines w:val="0"/>
        <w:pageBreakBefore w:val="0"/>
        <w:framePr w:wrap="auto" w:vAnchor="margin" w:hAnchor="text" w:yAlign="inline"/>
        <w:kinsoku/>
        <w:wordWrap/>
        <w:overflowPunct/>
        <w:topLinePunct w:val="0"/>
        <w:autoSpaceDE/>
        <w:autoSpaceDN/>
        <w:bidi w:val="0"/>
        <w:adjustRightInd/>
        <w:snapToGrid/>
        <w:spacing w:line="620" w:lineRule="exact"/>
        <w:ind w:left="0" w:firstLine="640" w:firstLineChars="200"/>
        <w:textAlignment w:val="auto"/>
        <w:rPr>
          <w:rFonts w:ascii="仿宋" w:hAnsi="仿宋" w:eastAsia="仿宋" w:cs="仿宋"/>
          <w:sz w:val="32"/>
          <w:szCs w:val="32"/>
          <w:lang w:val="zh-TW" w:eastAsia="zh-TW"/>
        </w:rPr>
      </w:pPr>
    </w:p>
    <w:sectPr>
      <w:headerReference r:id="rId5" w:type="default"/>
      <w:footerReference r:id="rId6" w:type="default"/>
      <w:pgSz w:w="11900" w:h="16840"/>
      <w:pgMar w:top="2098" w:right="1474" w:bottom="1984" w:left="1587" w:header="851" w:footer="992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Unicode MS">
    <w:altName w:val="宋体"/>
    <w:panose1 w:val="00000000000000000000"/>
    <w:charset w:val="86"/>
    <w:family w:val="roman"/>
    <w:pitch w:val="default"/>
    <w:sig w:usb0="00000000" w:usb1="00000000" w:usb2="00000000" w:usb3="00000000" w:csb0="00000000" w:csb1="00000000"/>
  </w:font>
  <w:font w:name="PingFang SC Regular">
    <w:altName w:val="Segoe Print"/>
    <w:panose1 w:val="00000000000000000000"/>
    <w:charset w:val="00"/>
    <w:family w:val="roman"/>
    <w:pitch w:val="default"/>
    <w:sig w:usb0="00000000" w:usb1="00000000" w:usb2="00000000" w:usb3="00000000" w:csb0="00000000" w:csb1="00000000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仿宋_GB2312">
    <w:panose1 w:val="02010609030101010101"/>
    <w:charset w:val="86"/>
    <w:family w:val="roman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roman"/>
    <w:pitch w:val="default"/>
    <w:sig w:usb0="800002BF" w:usb1="38CF7CFA" w:usb2="00000016" w:usb3="00000000" w:csb0="00040001" w:csb1="00000000"/>
  </w:font>
  <w:font w:name="Segoe Print">
    <w:panose1 w:val="02000600000000000000"/>
    <w:charset w:val="00"/>
    <w:family w:val="auto"/>
    <w:pitch w:val="default"/>
    <w:sig w:usb0="0000028F" w:usb1="00000000" w:usb2="00000000" w:usb3="00000000" w:csb0="2000009F" w:csb1="4701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uto" w:vAnchor="margin" w:hAnchor="text" w:yAlign="inline"/>
      <w:bidi w:val="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framePr w:wrap="auto" w:vAnchor="margin" w:hAnchor="text" w:yAlign="inline"/>
      <w:bidi w:val="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3F0BA23"/>
    <w:multiLevelType w:val="singleLevel"/>
    <w:tmpl w:val="23F0BA23"/>
    <w:lvl w:ilvl="0" w:tentative="0">
      <w:start w:val="3"/>
      <w:numFmt w:val="chineseCounting"/>
      <w:suff w:val="nothing"/>
      <w:lvlText w:val="（%1）"/>
      <w:lvlJc w:val="left"/>
      <w:pPr>
        <w:ind w:left="-10"/>
      </w:pPr>
      <w:rPr>
        <w:rFonts w:hint="eastAsia"/>
      </w:rPr>
    </w:lvl>
  </w:abstractNum>
  <w:abstractNum w:abstractNumId="1">
    <w:nsid w:val="2FFA7B59"/>
    <w:multiLevelType w:val="singleLevel"/>
    <w:tmpl w:val="2FFA7B59"/>
    <w:lvl w:ilvl="0" w:tentative="0">
      <w:start w:val="3"/>
      <w:numFmt w:val="chineseCounting"/>
      <w:suff w:val="nothing"/>
      <w:lvlText w:val="%1、"/>
      <w:lvlJc w:val="left"/>
      <w:rPr>
        <w:rFonts w:hint="eastAsia"/>
      </w:rPr>
    </w:lvl>
  </w:abstractNum>
  <w:abstractNum w:abstractNumId="2">
    <w:nsid w:val="46641B26"/>
    <w:multiLevelType w:val="singleLevel"/>
    <w:tmpl w:val="46641B26"/>
    <w:lvl w:ilvl="0" w:tentative="0">
      <w:start w:val="2"/>
      <w:numFmt w:val="chineseCounting"/>
      <w:suff w:val="nothing"/>
      <w:lvlText w:val="（%1）"/>
      <w:lvlJc w:val="left"/>
      <w:rPr>
        <w:rFonts w:hint="eastAsia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isplayBackgroundShape w:val="1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noLineBreaksAfter w:lang="zh-CN" w:val="‘“(〔[{〈《「『【⦅〘〖«〝︵︷︹︻︽︿﹁﹃﹇﹙﹛﹝｢"/>
  <w:noLineBreaksBefore w:lang="zh-CN" w:val="’”)〕]}〉"/>
  <w:footnotePr>
    <w:footnote w:id="0"/>
    <w:footnote w:id="1"/>
  </w:footnotePr>
  <w:endnotePr>
    <w:endnote w:id="0"/>
    <w:endnote w:id="1"/>
  </w:endnotePr>
  <w:compat>
    <w:doNotExpandShiftReturn/>
    <w:doNotWrapTextWithPunct/>
    <w:doNotUseEastAsianBreakRules/>
    <w:useFELayout/>
    <w:doNotUseIndentAsNumberingTabStop/>
    <w:compatSetting w:name="compatibilityMode" w:uri="http://schemas.microsoft.com/office/word" w:val="15"/>
  </w:compat>
  <w:rsids>
    <w:rsidRoot w:val="00000000"/>
    <w:rsid w:val="16F968B5"/>
    <w:rsid w:val="21A70510"/>
    <w:rsid w:val="51B970F7"/>
    <w:rsid w:val="67EB59D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keepNext w:val="0"/>
      <w:keepLines w:val="0"/>
      <w:pageBreakBefore w:val="0"/>
      <w:framePr w:wrap="auto" w:vAnchor="margin" w:hAnchor="text" w:yAlign="inline"/>
      <w:widowControl w:val="0"/>
      <w:numPr>
        <w:ilvl w:val="0"/>
        <w:numId w:val="0"/>
      </w:numPr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color="auto" w:fill="auto"/>
      <w:suppressAutoHyphens w:val="0"/>
      <w:bidi w:val="0"/>
      <w:spacing w:before="0" w:beforeAutospacing="0" w:after="0" w:afterAutospacing="0" w:line="240" w:lineRule="auto"/>
      <w:ind w:left="0" w:right="0" w:firstLine="0"/>
      <w:jc w:val="both"/>
      <w:outlineLvl w:val="9"/>
    </w:pPr>
    <w:rPr>
      <w:rFonts w:ascii="Calibri" w:hAnsi="Calibri" w:eastAsia="Arial Unicode MS" w:cs="Arial Unicode MS"/>
      <w:color w:val="000000"/>
      <w:spacing w:val="0"/>
      <w:w w:val="100"/>
      <w:kern w:val="2"/>
      <w:position w:val="0"/>
      <w:sz w:val="21"/>
      <w:szCs w:val="21"/>
      <w:u w:val="none" w:color="000000"/>
      <w:shd w:val="clear" w:color="auto" w:fill="auto"/>
      <w:vertAlign w:val="baseline"/>
      <w:lang w:val="en-US"/>
    </w:rPr>
  </w:style>
  <w:style w:type="character" w:default="1" w:styleId="3">
    <w:name w:val="Default Paragraph Font"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Hyperlink"/>
    <w:qFormat/>
    <w:uiPriority w:val="0"/>
    <w:rPr>
      <w:u w:val="single"/>
    </w:rPr>
  </w:style>
  <w:style w:type="table" w:customStyle="1" w:styleId="5">
    <w:name w:val="Table Normal"/>
    <w:qFormat/>
    <w:uiPriority w:val="0"/>
    <w:tblStylePr w:type="firstRow"/>
    <w:tblStylePr w:type="lastRow"/>
    <w:tblStylePr w:type="firstCol"/>
    <w:tblStylePr w:type="lastCol"/>
    <w:tblStylePr w:type="band1Vert"/>
    <w:tblStylePr w:type="band2Vert"/>
    <w:tblStylePr w:type="band1Horz"/>
    <w:tblStylePr w:type="band2Horz"/>
    <w:tblStylePr w:type="neCell"/>
    <w:tblStylePr w:type="nwCell"/>
    <w:tblStylePr w:type="seCell"/>
    <w:tblStylePr w:type="swCell"/>
  </w:style>
  <w:style w:type="paragraph" w:customStyle="1" w:styleId="6">
    <w:name w:val="页眉与页脚"/>
    <w:qFormat/>
    <w:uiPriority w:val="0"/>
    <w:pPr>
      <w:keepNext w:val="0"/>
      <w:keepLines w:val="0"/>
      <w:pageBreakBefore w:val="0"/>
      <w:framePr w:wrap="auto" w:vAnchor="margin" w:hAnchor="text" w:yAlign="inline"/>
      <w:widowControl/>
      <w:numPr>
        <w:ilvl w:val="0"/>
        <w:numId w:val="0"/>
      </w:numPr>
      <w:suppressLineNumbers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shd w:val="clear" w:color="auto" w:fill="auto"/>
      <w:tabs>
        <w:tab w:val="right" w:pos="9020"/>
      </w:tabs>
      <w:suppressAutoHyphens w:val="0"/>
      <w:bidi w:val="0"/>
      <w:spacing w:before="0" w:beforeAutospacing="0" w:after="0" w:afterAutospacing="0" w:line="240" w:lineRule="auto"/>
      <w:ind w:left="0" w:right="0" w:firstLine="0"/>
      <w:jc w:val="left"/>
      <w:outlineLvl w:val="9"/>
    </w:pPr>
    <w:rPr>
      <w:rFonts w:ascii="PingFang SC Regular" w:hAnsi="PingFang SC Regular" w:eastAsia="Arial Unicode MS" w:cs="Arial Unicode MS"/>
      <w:color w:val="000000"/>
      <w:spacing w:val="0"/>
      <w:w w:val="100"/>
      <w:kern w:val="0"/>
      <w:position w:val="0"/>
      <w:sz w:val="24"/>
      <w:szCs w:val="24"/>
      <w:u w:val="none" w:color="auto"/>
      <w:shd w:val="clear" w:color="auto" w:fill="auto"/>
      <w:vertAlign w:val="baselin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theme" Target="theme/theme1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00FF"/>
      </a:hlink>
      <a:folHlink>
        <a:srgbClr val="FF00FF"/>
      </a:folHlink>
    </a:clrScheme>
    <a:fontScheme name="WPS">
      <a:majorFont>
        <a:latin typeface="PingFang SC Semibold"/>
        <a:ea typeface="PingFang SC Semibold"/>
        <a:cs typeface="PingFang SC Semibold"/>
      </a:majorFont>
      <a:minorFont>
        <a:latin typeface="PingFang SC Regular"/>
        <a:ea typeface="PingFang SC Regular"/>
        <a:cs typeface="PingFang SC Regular"/>
      </a:minorFont>
    </a:fontScheme>
    <a:fmtScheme name="WP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reflection stA="50000" endPos="40000" dir="5400000" sy="-100000" algn="bl" rotWithShape="0"/>
          </a:effectLst>
        </a:effectStyle>
        <a:effectStyle>
          <a:effectLst>
            <a:reflection stA="50000" endPos="40000" dir="5400000" sy="-100000" algn="bl" rotWithShape="0"/>
          </a:effectLst>
        </a:effectStyle>
        <a:effectStyle>
          <a:effectLst>
            <a:outerShdw blurRad="101600" dist="50800" dir="5400000" rotWithShape="0">
              <a:schemeClr val="accent3">
                <a:alpha val="60000"/>
              </a:scheme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>
          <a:reflection stA="50000" endPos="40000" dir="5400000" sy="-100000" algn="bl" rotWithShape="0"/>
        </a:effectLst>
      </a:spPr>
      <a:bodyPr rot="0" spcFirstLastPara="1" vertOverflow="overflow" horzOverflow="overflow" vert="horz" wrap="square" lIns="45719" tIns="45719" rIns="45719" bIns="45719" numCol="1" spcCol="38100" rtlCol="0" anchor="ctr" upright="0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>
          <a:outerShdw blurRad="101600" dist="50800" dir="5400000" rotWithShape="0">
            <a:schemeClr val="accent1">
              <a:alpha val="60000"/>
            </a:schemeClr>
          </a:outerShdw>
        </a:effectLst>
      </a:spPr>
      <a:bodyPr rot="0" spcFirstLastPara="1" vertOverflow="overflow" horzOverflow="overflow" vert="horz" wrap="square" lIns="91439" tIns="45719" rIns="91439" bIns="45719" numCol="1" spcCol="38100" rtlCol="0" anchor="t" upright="0">
        <a:no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 upright="0">
        <a:spAutoFit/>
      </a:bodyPr>
      <a:lstStyle/>
      <a:style>
        <a:lnRef idx="0">
          <a:srgbClr val="FFFFFF"/>
        </a:lnRef>
        <a:fillRef idx="0">
          <a:srgbClr val="FFFFFF"/>
        </a:fillRef>
        <a:effectRef idx="0">
          <a:srgbClr val="FFFFFF"/>
        </a:effectRef>
        <a:fontRef idx="none"/>
      </a:style>
    </a:txDef>
  </a:objectDefaults>
</a:theme>
</file>

<file path=docProps/app.xml><?xml version="1.0" encoding="utf-8"?>
<Properties xmlns="http://schemas.openxmlformats.org/officeDocument/2006/extended-properties" xmlns:vt="http://schemas.openxmlformats.org/officeDocument/2006/docPropsVTypes">
  <Pages>10</Pages>
  <TotalTime>14</TotalTime>
  <ScaleCrop>false</ScaleCrop>
  <LinksUpToDate>false</LinksUpToDate>
  <Application>WPS Office_11.8.2.12309_F1E327BC-269C-435d-A152-05C5408002CA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2026-06-03T11:03:00Z</dcterms:created>
  <dc:creator>Administrator</dc:creator>
  <cp:lastModifiedBy>Administrator</cp:lastModifiedBy>
  <dcterms:modified xsi:type="dcterms:W3CDTF">2026-06-05T09:50:22Z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E867D3DCCB2544559470BB6D90EBB854</vt:lpwstr>
  </property>
</Properties>
</file>