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46648F">
      <w:pPr>
        <w:keepNext w:val="0"/>
        <w:keepLines w:val="0"/>
        <w:pageBreakBefore w:val="0"/>
        <w:widowControl w:val="0"/>
        <w:kinsoku w:val="0"/>
        <w:wordWrap/>
        <w:overflowPunct/>
        <w:topLinePunct w:val="0"/>
        <w:autoSpaceDE w:val="0"/>
        <w:autoSpaceDN w:val="0"/>
        <w:bidi w:val="0"/>
        <w:adjustRightInd w:val="0"/>
        <w:snapToGrid w:val="0"/>
        <w:spacing w:before="200" w:line="224" w:lineRule="auto"/>
        <w:jc w:val="center"/>
        <w:textAlignment w:val="baseline"/>
        <w:outlineLvl w:val="0"/>
        <w:rPr>
          <w:rFonts w:ascii="宋体" w:hAnsi="宋体" w:eastAsia="宋体" w:cs="宋体"/>
          <w:color w:val="auto"/>
          <w:sz w:val="43"/>
          <w:szCs w:val="43"/>
        </w:rPr>
      </w:pPr>
      <w:r>
        <w:rPr>
          <w:rFonts w:ascii="宋体" w:hAnsi="宋体" w:eastAsia="宋体" w:cs="宋体"/>
          <w:color w:val="auto"/>
          <w:spacing w:val="9"/>
          <w:sz w:val="43"/>
          <w:szCs w:val="43"/>
          <w14:textOutline w14:w="7972" w14:cap="flat" w14:cmpd="sng">
            <w14:solidFill>
              <w14:srgbClr w14:val="000000"/>
            </w14:solidFill>
            <w14:prstDash w14:val="solid"/>
            <w14:miter w14:val="0"/>
          </w14:textOutline>
        </w:rPr>
        <w:t>竞争性磋商公告</w:t>
      </w:r>
    </w:p>
    <w:p w14:paraId="5B7F023E">
      <w:pPr>
        <w:pageBreakBefore w:val="0"/>
        <w:widowControl w:val="0"/>
        <w:overflowPunct/>
        <w:bidi w:val="0"/>
        <w:spacing w:before="30"/>
        <w:rPr>
          <w:color w:val="auto"/>
        </w:rPr>
      </w:pPr>
    </w:p>
    <w:tbl>
      <w:tblPr>
        <w:tblStyle w:val="7"/>
        <w:tblW w:w="9464"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464"/>
      </w:tblGrid>
      <w:tr w14:paraId="7C17D52F">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1541" w:hRule="atLeast"/>
        </w:trPr>
        <w:tc>
          <w:tcPr>
            <w:tcW w:w="9464" w:type="dxa"/>
            <w:vAlign w:val="top"/>
          </w:tcPr>
          <w:p w14:paraId="05357E86">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pacing w:val="-5"/>
                <w:sz w:val="24"/>
                <w:szCs w:val="24"/>
              </w:rPr>
            </w:pPr>
            <w:r>
              <w:rPr>
                <w:rFonts w:hint="eastAsia" w:asciiTheme="minorEastAsia" w:hAnsiTheme="minorEastAsia" w:eastAsiaTheme="minorEastAsia" w:cstheme="minorEastAsia"/>
                <w:color w:val="auto"/>
                <w:spacing w:val="-5"/>
                <w:sz w:val="24"/>
                <w:szCs w:val="24"/>
              </w:rPr>
              <w:t>项目概况</w:t>
            </w:r>
          </w:p>
          <w:p w14:paraId="5A928471">
            <w:pPr>
              <w:pStyle w:val="8"/>
              <w:keepNext w:val="0"/>
              <w:keepLines w:val="0"/>
              <w:pageBreakBefore w:val="0"/>
              <w:widowControl w:val="0"/>
              <w:kinsoku/>
              <w:wordWrap w:val="0"/>
              <w:overflowPunct/>
              <w:topLinePunct/>
              <w:autoSpaceDE/>
              <w:autoSpaceDN/>
              <w:bidi w:val="0"/>
              <w:adjustRightInd w:val="0"/>
              <w:snapToGrid w:val="0"/>
              <w:spacing w:line="440" w:lineRule="exact"/>
              <w:textAlignment w:val="baseline"/>
              <w:rPr>
                <w:color w:val="auto"/>
                <w:sz w:val="24"/>
                <w:szCs w:val="24"/>
              </w:rPr>
            </w:pPr>
            <w:r>
              <w:rPr>
                <w:rFonts w:hint="eastAsia" w:asciiTheme="minorEastAsia" w:hAnsiTheme="minorEastAsia" w:eastAsiaTheme="minorEastAsia" w:cstheme="minorEastAsia"/>
                <w:color w:val="auto"/>
                <w:sz w:val="24"/>
                <w:szCs w:val="24"/>
                <w:u w:val="single"/>
                <w:lang w:eastAsia="zh-CN"/>
              </w:rPr>
              <w:t>石家庄市城市管理便民服务中心2026年度城管热线运行维护项目</w:t>
            </w:r>
            <w:r>
              <w:rPr>
                <w:rFonts w:hint="eastAsia" w:asciiTheme="minorEastAsia" w:hAnsiTheme="minorEastAsia" w:eastAsiaTheme="minorEastAsia" w:cstheme="minorEastAsia"/>
                <w:color w:val="auto"/>
                <w:sz w:val="24"/>
                <w:szCs w:val="24"/>
              </w:rPr>
              <w:t>的潜在供应商应在</w:t>
            </w:r>
            <w:r>
              <w:rPr>
                <w:rFonts w:hint="eastAsia" w:asciiTheme="minorEastAsia" w:hAnsiTheme="minorEastAsia" w:eastAsiaTheme="minorEastAsia" w:cstheme="minorEastAsia"/>
                <w:color w:val="auto"/>
                <w:sz w:val="24"/>
                <w:szCs w:val="24"/>
                <w:u w:val="single"/>
                <w:lang w:eastAsia="zh-CN"/>
              </w:rPr>
              <w:t>能信电子招投标交易平台</w:t>
            </w:r>
            <w:r>
              <w:rPr>
                <w:rFonts w:hint="eastAsia" w:asciiTheme="minorEastAsia" w:hAnsiTheme="minorEastAsia" w:eastAsiaTheme="minorEastAsia" w:cstheme="minorEastAsia"/>
                <w:color w:val="auto"/>
                <w:sz w:val="24"/>
                <w:szCs w:val="24"/>
              </w:rPr>
              <w:t>获取采购文件，并于</w:t>
            </w:r>
            <w:r>
              <w:rPr>
                <w:rFonts w:hint="eastAsia" w:asciiTheme="minorEastAsia" w:hAnsiTheme="minorEastAsia" w:eastAsiaTheme="minorEastAsia" w:cstheme="minorEastAsia"/>
                <w:color w:val="auto"/>
                <w:sz w:val="24"/>
                <w:szCs w:val="24"/>
                <w:u w:val="single"/>
                <w:lang w:eastAsia="zh-CN"/>
              </w:rPr>
              <w:t>202</w:t>
            </w:r>
            <w:r>
              <w:rPr>
                <w:rFonts w:hint="eastAsia" w:asciiTheme="minorEastAsia" w:hAnsiTheme="minorEastAsia" w:eastAsiaTheme="minorEastAsia" w:cstheme="minorEastAsia"/>
                <w:color w:val="auto"/>
                <w:sz w:val="24"/>
                <w:szCs w:val="24"/>
                <w:u w:val="single"/>
                <w:lang w:val="en-US" w:eastAsia="zh-CN"/>
              </w:rPr>
              <w:t>6</w:t>
            </w:r>
            <w:r>
              <w:rPr>
                <w:rFonts w:hint="eastAsia" w:asciiTheme="minorEastAsia" w:hAnsiTheme="minorEastAsia" w:eastAsiaTheme="minorEastAsia" w:cstheme="minorEastAsia"/>
                <w:color w:val="auto"/>
                <w:sz w:val="24"/>
                <w:szCs w:val="24"/>
                <w:u w:val="single"/>
              </w:rPr>
              <w:t>年</w:t>
            </w:r>
            <w:r>
              <w:rPr>
                <w:rFonts w:hint="eastAsia" w:asciiTheme="minorEastAsia" w:hAnsiTheme="minorEastAsia" w:eastAsiaTheme="minorEastAsia" w:cstheme="minorEastAsia"/>
                <w:color w:val="auto"/>
                <w:sz w:val="24"/>
                <w:szCs w:val="24"/>
                <w:u w:val="single"/>
                <w:lang w:val="en-US" w:eastAsia="zh-CN"/>
              </w:rPr>
              <w:t>4</w:t>
            </w:r>
            <w:r>
              <w:rPr>
                <w:rFonts w:hint="eastAsia" w:asciiTheme="minorEastAsia" w:hAnsiTheme="minorEastAsia" w:eastAsiaTheme="minorEastAsia" w:cstheme="minorEastAsia"/>
                <w:color w:val="auto"/>
                <w:sz w:val="24"/>
                <w:szCs w:val="24"/>
                <w:u w:val="single"/>
              </w:rPr>
              <w:t>月</w:t>
            </w:r>
            <w:r>
              <w:rPr>
                <w:rFonts w:hint="eastAsia" w:asciiTheme="minorEastAsia" w:hAnsiTheme="minorEastAsia" w:eastAsiaTheme="minorEastAsia" w:cstheme="minorEastAsia"/>
                <w:color w:val="auto"/>
                <w:sz w:val="24"/>
                <w:szCs w:val="24"/>
                <w:u w:val="single"/>
                <w:lang w:val="en-US" w:eastAsia="zh-CN"/>
              </w:rPr>
              <w:t>27</w:t>
            </w:r>
            <w:r>
              <w:rPr>
                <w:rFonts w:hint="eastAsia" w:asciiTheme="minorEastAsia" w:hAnsiTheme="minorEastAsia" w:eastAsiaTheme="minorEastAsia" w:cstheme="minorEastAsia"/>
                <w:color w:val="auto"/>
                <w:sz w:val="24"/>
                <w:szCs w:val="24"/>
                <w:u w:val="single"/>
              </w:rPr>
              <w:t>日</w:t>
            </w:r>
            <w:r>
              <w:rPr>
                <w:rFonts w:hint="eastAsia" w:asciiTheme="minorEastAsia" w:hAnsiTheme="minorEastAsia" w:eastAsiaTheme="minorEastAsia" w:cstheme="minorEastAsia"/>
                <w:color w:val="auto"/>
                <w:sz w:val="24"/>
                <w:szCs w:val="24"/>
                <w:u w:val="single"/>
                <w:lang w:val="en-US" w:eastAsia="zh-CN"/>
              </w:rPr>
              <w:t>9</w:t>
            </w:r>
            <w:r>
              <w:rPr>
                <w:rFonts w:hint="eastAsia" w:asciiTheme="minorEastAsia" w:hAnsiTheme="minorEastAsia" w:eastAsiaTheme="minorEastAsia" w:cstheme="minorEastAsia"/>
                <w:color w:val="auto"/>
                <w:sz w:val="24"/>
                <w:szCs w:val="24"/>
                <w:u w:val="single"/>
              </w:rPr>
              <w:t>点</w:t>
            </w:r>
            <w:r>
              <w:rPr>
                <w:rFonts w:hint="eastAsia" w:asciiTheme="minorEastAsia" w:hAnsiTheme="minorEastAsia" w:eastAsiaTheme="minorEastAsia" w:cstheme="minorEastAsia"/>
                <w:color w:val="auto"/>
                <w:sz w:val="24"/>
                <w:szCs w:val="24"/>
                <w:u w:val="single"/>
                <w:lang w:val="en-US" w:eastAsia="zh-CN"/>
              </w:rPr>
              <w:t>30</w:t>
            </w:r>
            <w:r>
              <w:rPr>
                <w:rFonts w:hint="eastAsia" w:asciiTheme="minorEastAsia" w:hAnsiTheme="minorEastAsia" w:eastAsiaTheme="minorEastAsia" w:cstheme="minorEastAsia"/>
                <w:color w:val="auto"/>
                <w:sz w:val="24"/>
                <w:szCs w:val="24"/>
                <w:u w:val="single"/>
              </w:rPr>
              <w:t>分</w:t>
            </w:r>
            <w:r>
              <w:rPr>
                <w:rFonts w:hint="eastAsia" w:asciiTheme="minorEastAsia" w:hAnsiTheme="minorEastAsia" w:eastAsiaTheme="minorEastAsia" w:cstheme="minorEastAsia"/>
                <w:color w:val="auto"/>
                <w:sz w:val="24"/>
                <w:szCs w:val="24"/>
              </w:rPr>
              <w:t>（北京时间）前提交响应文件</w:t>
            </w:r>
            <w:r>
              <w:rPr>
                <w:rFonts w:hint="eastAsia" w:asciiTheme="minorEastAsia" w:hAnsiTheme="minorEastAsia" w:eastAsiaTheme="minorEastAsia" w:cstheme="minorEastAsia"/>
                <w:color w:val="auto"/>
                <w:sz w:val="22"/>
                <w:szCs w:val="22"/>
              </w:rPr>
              <w:t>。</w:t>
            </w:r>
          </w:p>
        </w:tc>
      </w:tr>
    </w:tbl>
    <w:p w14:paraId="6B2B179E">
      <w:pPr>
        <w:pageBreakBefore w:val="0"/>
        <w:widowControl w:val="0"/>
        <w:overflowPunct/>
        <w:bidi w:val="0"/>
        <w:spacing w:before="78" w:line="219" w:lineRule="auto"/>
        <w:ind w:left="102"/>
        <w:outlineLvl w:val="0"/>
        <w:rPr>
          <w:rFonts w:ascii="宋体" w:hAnsi="宋体" w:eastAsia="宋体" w:cs="宋体"/>
          <w:color w:val="auto"/>
          <w:sz w:val="24"/>
          <w:szCs w:val="24"/>
        </w:rPr>
      </w:pPr>
      <w:bookmarkStart w:id="0" w:name="_Toc26833"/>
      <w:bookmarkStart w:id="1" w:name="_Toc29903"/>
      <w:bookmarkStart w:id="2" w:name="_Toc11544"/>
      <w:bookmarkStart w:id="3" w:name="_Toc5361"/>
      <w:r>
        <w:rPr>
          <w:rFonts w:ascii="宋体" w:hAnsi="宋体" w:eastAsia="宋体" w:cs="宋体"/>
          <w:color w:val="auto"/>
          <w:spacing w:val="-1"/>
          <w:sz w:val="24"/>
          <w:szCs w:val="24"/>
          <w14:textOutline w14:w="4358" w14:cap="flat" w14:cmpd="sng">
            <w14:solidFill>
              <w14:srgbClr w14:val="000000"/>
            </w14:solidFill>
            <w14:prstDash w14:val="solid"/>
            <w14:miter w14:val="0"/>
          </w14:textOutline>
        </w:rPr>
        <w:t>一、项目基本情况</w:t>
      </w:r>
      <w:bookmarkEnd w:id="0"/>
      <w:bookmarkEnd w:id="1"/>
      <w:bookmarkEnd w:id="2"/>
      <w:bookmarkEnd w:id="3"/>
    </w:p>
    <w:p w14:paraId="5AAB4A8B">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rPr>
        <w:t>项目编号：</w:t>
      </w:r>
      <w:r>
        <w:rPr>
          <w:rFonts w:hint="eastAsia" w:ascii="宋体" w:hAnsi="宋体" w:eastAsia="宋体" w:cs="宋体"/>
          <w:color w:val="auto"/>
          <w:sz w:val="24"/>
          <w:szCs w:val="24"/>
          <w:lang w:val="en-US" w:eastAsia="zh-CN"/>
        </w:rPr>
        <w:t>ZYSJZ2026-04036</w:t>
      </w:r>
    </w:p>
    <w:p w14:paraId="5C9F58CF">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rPr>
        <w:t>项目名称：</w:t>
      </w:r>
      <w:r>
        <w:rPr>
          <w:rFonts w:hint="eastAsia" w:ascii="宋体" w:hAnsi="宋体" w:eastAsia="宋体" w:cs="宋体"/>
          <w:color w:val="auto"/>
          <w:sz w:val="24"/>
          <w:szCs w:val="24"/>
          <w:lang w:eastAsia="zh-CN"/>
        </w:rPr>
        <w:t>石家庄市城市管理便民服务中心2026年度城管热线运行维护项目</w:t>
      </w:r>
    </w:p>
    <w:p w14:paraId="77F95813">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采购方式：竞争性磋商</w:t>
      </w:r>
    </w:p>
    <w:p w14:paraId="6DE69AF2">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default"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rPr>
        <w:t>最高限价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180000元</w:t>
      </w:r>
    </w:p>
    <w:p w14:paraId="3AE2D82D">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采购需求</w:t>
      </w:r>
      <w:r>
        <w:rPr>
          <w:rFonts w:hint="eastAsia" w:ascii="宋体" w:hAnsi="宋体" w:eastAsia="宋体" w:cs="宋体"/>
          <w:color w:val="auto"/>
          <w:sz w:val="24"/>
          <w:szCs w:val="24"/>
          <w:lang w:eastAsia="zh-CN"/>
        </w:rPr>
        <w:t>：</w:t>
      </w:r>
      <w:r>
        <w:rPr>
          <w:rFonts w:hint="eastAsia"/>
          <w:color w:val="auto"/>
          <w:sz w:val="24"/>
          <w:szCs w:val="24"/>
          <w:lang w:val="en-US" w:eastAsia="zh-CN"/>
        </w:rPr>
        <w:t>石家庄市城市管理便民服务中心2026年度城管热线运行维护项目，</w:t>
      </w:r>
      <w:r>
        <w:rPr>
          <w:rFonts w:hint="eastAsia"/>
          <w:color w:val="auto"/>
          <w:sz w:val="24"/>
          <w:szCs w:val="24"/>
        </w:rPr>
        <w:t>具体</w:t>
      </w:r>
      <w:r>
        <w:rPr>
          <w:rFonts w:hint="eastAsia"/>
          <w:color w:val="auto"/>
          <w:sz w:val="24"/>
          <w:szCs w:val="24"/>
          <w:lang w:val="en-US" w:eastAsia="zh-CN"/>
        </w:rPr>
        <w:t>内容</w:t>
      </w:r>
      <w:r>
        <w:rPr>
          <w:rFonts w:hint="eastAsia"/>
          <w:color w:val="auto"/>
          <w:sz w:val="24"/>
          <w:szCs w:val="24"/>
        </w:rPr>
        <w:t>详见采购需求</w:t>
      </w:r>
      <w:r>
        <w:rPr>
          <w:rFonts w:hint="eastAsia" w:ascii="宋体" w:hAnsi="宋体" w:eastAsia="宋体" w:cs="宋体"/>
          <w:color w:val="auto"/>
          <w:sz w:val="24"/>
          <w:szCs w:val="24"/>
          <w:lang w:val="en-US" w:eastAsia="zh-CN"/>
        </w:rPr>
        <w:t>。</w:t>
      </w:r>
    </w:p>
    <w:p w14:paraId="38E9C875">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服务期：</w:t>
      </w:r>
      <w:r>
        <w:rPr>
          <w:rFonts w:hint="eastAsia" w:ascii="宋体" w:hAnsi="宋体" w:eastAsia="宋体" w:cs="宋体"/>
          <w:color w:val="auto"/>
          <w:sz w:val="24"/>
          <w:szCs w:val="24"/>
          <w:highlight w:val="none"/>
          <w:lang w:val="en-US" w:eastAsia="zh-CN"/>
        </w:rPr>
        <w:t>合同签订之日起至2026年12月31日</w:t>
      </w:r>
      <w:r>
        <w:rPr>
          <w:rFonts w:hint="eastAsia" w:ascii="宋体" w:hAnsi="宋体" w:eastAsia="宋体" w:cs="宋体"/>
          <w:color w:val="auto"/>
          <w:sz w:val="24"/>
          <w:szCs w:val="24"/>
          <w:highlight w:val="none"/>
          <w:lang w:eastAsia="zh-CN"/>
        </w:rPr>
        <w:t>。</w:t>
      </w:r>
    </w:p>
    <w:p w14:paraId="28F3CABA">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质量标准：合格，满足采购人需求。</w:t>
      </w:r>
    </w:p>
    <w:p w14:paraId="6BD229D9">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项目实施地点：</w:t>
      </w:r>
      <w:r>
        <w:rPr>
          <w:rFonts w:hint="eastAsia" w:ascii="宋体" w:hAnsi="宋体" w:eastAsia="宋体" w:cs="宋体"/>
          <w:color w:val="auto"/>
          <w:sz w:val="24"/>
          <w:szCs w:val="24"/>
          <w:highlight w:val="none"/>
          <w:lang w:eastAsia="zh-CN"/>
        </w:rPr>
        <w:t>石家庄市城市管理便民服务中心</w:t>
      </w:r>
    </w:p>
    <w:p w14:paraId="0741BAA5">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本项目（是/否）接受联合体：否</w:t>
      </w:r>
      <w:r>
        <w:rPr>
          <w:rFonts w:hint="eastAsia" w:ascii="宋体" w:hAnsi="宋体" w:eastAsia="宋体" w:cs="宋体"/>
          <w:color w:val="auto"/>
          <w:spacing w:val="-1"/>
          <w:sz w:val="24"/>
          <w:szCs w:val="24"/>
        </w:rPr>
        <w:t>。</w:t>
      </w:r>
    </w:p>
    <w:p w14:paraId="1ED1CC3A">
      <w:pPr>
        <w:pageBreakBefore w:val="0"/>
        <w:widowControl w:val="0"/>
        <w:overflowPunct/>
        <w:bidi w:val="0"/>
        <w:spacing w:before="184" w:line="219" w:lineRule="auto"/>
        <w:ind w:left="102"/>
        <w:outlineLvl w:val="0"/>
        <w:rPr>
          <w:rFonts w:ascii="宋体" w:hAnsi="宋体" w:eastAsia="宋体" w:cs="宋体"/>
          <w:color w:val="auto"/>
          <w:sz w:val="24"/>
          <w:szCs w:val="24"/>
        </w:rPr>
      </w:pPr>
      <w:bookmarkStart w:id="4" w:name="_Toc29235"/>
      <w:bookmarkStart w:id="5" w:name="_Toc22858"/>
      <w:bookmarkStart w:id="6" w:name="_Toc2340"/>
      <w:bookmarkStart w:id="7" w:name="_Toc9686"/>
      <w:r>
        <w:rPr>
          <w:rFonts w:ascii="宋体" w:hAnsi="宋体" w:eastAsia="宋体" w:cs="宋体"/>
          <w:color w:val="auto"/>
          <w:spacing w:val="-1"/>
          <w:sz w:val="24"/>
          <w:szCs w:val="24"/>
          <w14:textOutline w14:w="4358" w14:cap="flat" w14:cmpd="sng">
            <w14:solidFill>
              <w14:srgbClr w14:val="000000"/>
            </w14:solidFill>
            <w14:prstDash w14:val="solid"/>
            <w14:miter w14:val="0"/>
          </w14:textOutline>
        </w:rPr>
        <w:t>二、申请人的资格要求：</w:t>
      </w:r>
      <w:bookmarkEnd w:id="4"/>
      <w:bookmarkEnd w:id="5"/>
      <w:bookmarkEnd w:id="6"/>
      <w:bookmarkEnd w:id="7"/>
    </w:p>
    <w:p w14:paraId="08F2D756">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1.满足《中华人民共和国政府采购法》第二十二条规定；</w:t>
      </w:r>
    </w:p>
    <w:p w14:paraId="19BBB483">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rPr>
        <w:t>2.落实政府采购政策需满足的资格要求</w:t>
      </w:r>
      <w:r>
        <w:rPr>
          <w:rFonts w:hint="eastAsia" w:ascii="宋体" w:hAnsi="宋体" w:eastAsia="宋体" w:cs="宋体"/>
          <w:color w:val="auto"/>
          <w:sz w:val="24"/>
          <w:szCs w:val="24"/>
          <w:highlight w:val="none"/>
        </w:rPr>
        <w:t>：</w:t>
      </w:r>
      <w:r>
        <w:rPr>
          <w:rFonts w:hint="eastAsia"/>
          <w:color w:val="auto"/>
          <w:sz w:val="24"/>
          <w:szCs w:val="24"/>
        </w:rPr>
        <w:t>本项目</w:t>
      </w:r>
      <w:r>
        <w:rPr>
          <w:rFonts w:hint="eastAsia"/>
          <w:color w:val="auto"/>
          <w:sz w:val="24"/>
          <w:szCs w:val="24"/>
          <w:lang w:val="en-US" w:eastAsia="zh-CN"/>
        </w:rPr>
        <w:t>专门面向</w:t>
      </w:r>
      <w:r>
        <w:rPr>
          <w:rFonts w:hint="eastAsia"/>
          <w:color w:val="auto"/>
          <w:sz w:val="24"/>
          <w:szCs w:val="24"/>
        </w:rPr>
        <w:t>小型</w:t>
      </w:r>
      <w:r>
        <w:rPr>
          <w:rFonts w:hint="eastAsia"/>
          <w:color w:val="auto"/>
          <w:sz w:val="24"/>
          <w:szCs w:val="24"/>
          <w:lang w:val="en-US" w:eastAsia="zh-CN"/>
        </w:rPr>
        <w:t>和</w:t>
      </w:r>
      <w:r>
        <w:rPr>
          <w:rFonts w:hint="eastAsia"/>
          <w:color w:val="auto"/>
          <w:sz w:val="24"/>
          <w:szCs w:val="24"/>
        </w:rPr>
        <w:t>微型企业（监狱企业、残疾人福利性单位视同为小微企业）</w:t>
      </w:r>
      <w:r>
        <w:rPr>
          <w:rFonts w:hint="eastAsia"/>
          <w:color w:val="auto"/>
          <w:sz w:val="24"/>
          <w:szCs w:val="24"/>
          <w:lang w:val="en-US" w:eastAsia="zh-CN"/>
        </w:rPr>
        <w:t>采购</w:t>
      </w:r>
      <w:r>
        <w:rPr>
          <w:rFonts w:hint="eastAsia" w:ascii="宋体" w:hAnsi="宋体" w:eastAsia="宋体" w:cs="宋体"/>
          <w:color w:val="auto"/>
          <w:sz w:val="24"/>
          <w:szCs w:val="24"/>
          <w:highlight w:val="none"/>
          <w:lang w:val="en-US" w:eastAsia="zh-CN"/>
        </w:rPr>
        <w:t>；</w:t>
      </w:r>
    </w:p>
    <w:p w14:paraId="0AA041CA">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rPr>
        <w:t>3.本项目的特定资格要求：</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w:t>
      </w:r>
    </w:p>
    <w:p w14:paraId="63D6FE44">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单位负责人为同一人或者存在直接控股、管理关系的不同供应商，不得参加同一合同项下的政府采购活动</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若有上述情况出现，相关供应商的响应均无效</w:t>
      </w:r>
      <w:r>
        <w:rPr>
          <w:rFonts w:hint="eastAsia" w:ascii="宋体" w:hAnsi="宋体" w:eastAsia="宋体" w:cs="宋体"/>
          <w:color w:val="auto"/>
          <w:sz w:val="24"/>
          <w:szCs w:val="24"/>
          <w:lang w:eastAsia="zh-CN"/>
        </w:rPr>
        <w:t>；</w:t>
      </w:r>
    </w:p>
    <w:p w14:paraId="6F0E8E95">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5.“信用中国 ”网站（www.creditchina.gov.cn）、中国政府采购网（www.ccgp.gov.cn）查询，未被列入失信被执行人、重大税收违法案件当事人名单、政府采购严重违法失信行为记录名单；</w:t>
      </w:r>
    </w:p>
    <w:p w14:paraId="5DA3D7F1">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根据政府采购法诚实信用原则，参与本次采购活动的供应商，其法人代表或主要负责人实控的其他公司未处于被政府采购监管机构禁止参加政府采购活动的有效期内且前三年内无重大违法记录</w:t>
      </w:r>
      <w:r>
        <w:rPr>
          <w:rFonts w:hint="eastAsia" w:ascii="宋体" w:hAnsi="宋体" w:eastAsia="宋体" w:cs="宋体"/>
          <w:color w:val="auto"/>
          <w:sz w:val="24"/>
          <w:szCs w:val="24"/>
          <w:lang w:eastAsia="zh-CN"/>
        </w:rPr>
        <w:t>。</w:t>
      </w:r>
    </w:p>
    <w:p w14:paraId="54A98D0C">
      <w:pPr>
        <w:pageBreakBefore w:val="0"/>
        <w:widowControl w:val="0"/>
        <w:overflowPunct/>
        <w:bidi w:val="0"/>
        <w:spacing w:before="182" w:line="219" w:lineRule="auto"/>
        <w:ind w:left="9"/>
        <w:outlineLvl w:val="0"/>
        <w:rPr>
          <w:rFonts w:ascii="宋体" w:hAnsi="宋体" w:eastAsia="宋体" w:cs="宋体"/>
          <w:color w:val="auto"/>
          <w:sz w:val="24"/>
          <w:szCs w:val="24"/>
        </w:rPr>
      </w:pPr>
      <w:bookmarkStart w:id="8" w:name="_Toc15678"/>
      <w:bookmarkStart w:id="9" w:name="_Toc1833"/>
      <w:bookmarkStart w:id="10" w:name="_Toc30089"/>
      <w:bookmarkStart w:id="11" w:name="_Toc627"/>
      <w:r>
        <w:rPr>
          <w:rFonts w:ascii="宋体" w:hAnsi="宋体" w:eastAsia="宋体" w:cs="宋体"/>
          <w:color w:val="auto"/>
          <w:spacing w:val="-1"/>
          <w:sz w:val="24"/>
          <w:szCs w:val="24"/>
          <w14:textOutline w14:w="4358" w14:cap="flat" w14:cmpd="sng">
            <w14:solidFill>
              <w14:srgbClr w14:val="000000"/>
            </w14:solidFill>
            <w14:prstDash w14:val="solid"/>
            <w14:miter w14:val="0"/>
          </w14:textOutline>
        </w:rPr>
        <w:t>三、获取磋商文件</w:t>
      </w:r>
      <w:bookmarkEnd w:id="8"/>
      <w:bookmarkEnd w:id="9"/>
      <w:bookmarkEnd w:id="10"/>
      <w:bookmarkEnd w:id="11"/>
    </w:p>
    <w:p w14:paraId="5A62BDB3">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时间：</w:t>
      </w:r>
      <w:r>
        <w:rPr>
          <w:rFonts w:hint="eastAsia" w:ascii="宋体" w:hAnsi="宋体" w:eastAsia="宋体" w:cs="宋体"/>
          <w:color w:val="auto"/>
          <w:sz w:val="24"/>
          <w:szCs w:val="24"/>
          <w:u w:val="single"/>
        </w:rPr>
        <w:t>2026年</w:t>
      </w:r>
      <w:r>
        <w:rPr>
          <w:rFonts w:hint="eastAsia" w:ascii="宋体" w:hAnsi="宋体" w:eastAsia="宋体" w:cs="宋体"/>
          <w:color w:val="auto"/>
          <w:sz w:val="24"/>
          <w:szCs w:val="24"/>
          <w:u w:val="single"/>
          <w:lang w:val="en-US" w:eastAsia="zh-CN"/>
        </w:rPr>
        <w:t>4</w:t>
      </w:r>
      <w:r>
        <w:rPr>
          <w:rFonts w:hint="eastAsia" w:ascii="宋体" w:hAnsi="宋体" w:eastAsia="宋体" w:cs="宋体"/>
          <w:color w:val="auto"/>
          <w:sz w:val="24"/>
          <w:szCs w:val="24"/>
          <w:u w:val="single"/>
        </w:rPr>
        <w:t>月</w:t>
      </w:r>
      <w:r>
        <w:rPr>
          <w:rFonts w:hint="eastAsia" w:ascii="宋体" w:hAnsi="宋体" w:eastAsia="宋体" w:cs="宋体"/>
          <w:color w:val="auto"/>
          <w:sz w:val="24"/>
          <w:szCs w:val="24"/>
          <w:u w:val="single"/>
          <w:lang w:val="en-US" w:eastAsia="zh-CN"/>
        </w:rPr>
        <w:t>17</w:t>
      </w:r>
      <w:r>
        <w:rPr>
          <w:rFonts w:hint="eastAsia" w:ascii="宋体" w:hAnsi="宋体" w:eastAsia="宋体" w:cs="宋体"/>
          <w:color w:val="auto"/>
          <w:sz w:val="24"/>
          <w:szCs w:val="24"/>
          <w:u w:val="single"/>
        </w:rPr>
        <w:t>日</w:t>
      </w:r>
      <w:r>
        <w:rPr>
          <w:rFonts w:hint="eastAsia" w:ascii="宋体" w:hAnsi="宋体" w:eastAsia="宋体" w:cs="宋体"/>
          <w:color w:val="auto"/>
          <w:sz w:val="24"/>
          <w:szCs w:val="24"/>
        </w:rPr>
        <w:t>至</w:t>
      </w:r>
      <w:r>
        <w:rPr>
          <w:rFonts w:hint="eastAsia" w:ascii="宋体" w:hAnsi="宋体" w:eastAsia="宋体" w:cs="宋体"/>
          <w:color w:val="auto"/>
          <w:sz w:val="24"/>
          <w:szCs w:val="24"/>
          <w:u w:val="single"/>
        </w:rPr>
        <w:t>2026年</w:t>
      </w:r>
      <w:r>
        <w:rPr>
          <w:rFonts w:hint="eastAsia" w:ascii="宋体" w:hAnsi="宋体" w:eastAsia="宋体" w:cs="宋体"/>
          <w:color w:val="auto"/>
          <w:sz w:val="24"/>
          <w:szCs w:val="24"/>
          <w:u w:val="single"/>
          <w:lang w:val="en-US" w:eastAsia="zh-CN"/>
        </w:rPr>
        <w:t>4</w:t>
      </w:r>
      <w:r>
        <w:rPr>
          <w:rFonts w:hint="eastAsia" w:ascii="宋体" w:hAnsi="宋体" w:eastAsia="宋体" w:cs="宋体"/>
          <w:color w:val="auto"/>
          <w:sz w:val="24"/>
          <w:szCs w:val="24"/>
          <w:u w:val="single"/>
        </w:rPr>
        <w:t>月</w:t>
      </w:r>
      <w:r>
        <w:rPr>
          <w:rFonts w:hint="eastAsia" w:ascii="宋体" w:hAnsi="宋体" w:eastAsia="宋体" w:cs="宋体"/>
          <w:color w:val="auto"/>
          <w:sz w:val="24"/>
          <w:szCs w:val="24"/>
          <w:u w:val="single"/>
          <w:lang w:val="en-US" w:eastAsia="zh-CN"/>
        </w:rPr>
        <w:t>24</w:t>
      </w:r>
      <w:r>
        <w:rPr>
          <w:rFonts w:hint="eastAsia" w:ascii="宋体" w:hAnsi="宋体" w:eastAsia="宋体" w:cs="宋体"/>
          <w:color w:val="auto"/>
          <w:sz w:val="24"/>
          <w:szCs w:val="24"/>
          <w:u w:val="single"/>
        </w:rPr>
        <w:t>日</w:t>
      </w:r>
      <w:r>
        <w:rPr>
          <w:rFonts w:hint="eastAsia" w:ascii="宋体" w:hAnsi="宋体" w:eastAsia="宋体" w:cs="宋体"/>
          <w:color w:val="auto"/>
          <w:sz w:val="24"/>
          <w:szCs w:val="24"/>
        </w:rPr>
        <w:t>每天上午</w:t>
      </w:r>
      <w:r>
        <w:rPr>
          <w:rFonts w:hint="eastAsia" w:ascii="宋体" w:hAnsi="宋体" w:eastAsia="宋体" w:cs="宋体"/>
          <w:color w:val="auto"/>
          <w:sz w:val="24"/>
          <w:szCs w:val="24"/>
          <w:u w:val="single"/>
          <w:lang w:val="en-US" w:eastAsia="zh-CN"/>
        </w:rPr>
        <w:t>9</w:t>
      </w:r>
      <w:r>
        <w:rPr>
          <w:rFonts w:hint="eastAsia" w:ascii="宋体" w:hAnsi="宋体" w:eastAsia="宋体" w:cs="宋体"/>
          <w:color w:val="auto"/>
          <w:sz w:val="24"/>
          <w:szCs w:val="24"/>
          <w:u w:val="single"/>
        </w:rPr>
        <w:t>时至12时</w:t>
      </w:r>
      <w:r>
        <w:rPr>
          <w:rFonts w:hint="eastAsia" w:ascii="宋体" w:hAnsi="宋体" w:eastAsia="宋体" w:cs="宋体"/>
          <w:color w:val="auto"/>
          <w:sz w:val="24"/>
          <w:szCs w:val="24"/>
        </w:rPr>
        <w:t>，下午</w:t>
      </w:r>
      <w:r>
        <w:rPr>
          <w:rFonts w:hint="eastAsia" w:ascii="宋体" w:hAnsi="宋体" w:eastAsia="宋体" w:cs="宋体"/>
          <w:color w:val="auto"/>
          <w:sz w:val="24"/>
          <w:szCs w:val="24"/>
          <w:u w:val="single"/>
        </w:rPr>
        <w:t>12时至</w:t>
      </w:r>
      <w:r>
        <w:rPr>
          <w:rFonts w:hint="eastAsia" w:ascii="宋体" w:hAnsi="宋体" w:eastAsia="宋体" w:cs="宋体"/>
          <w:color w:val="auto"/>
          <w:sz w:val="24"/>
          <w:szCs w:val="24"/>
          <w:u w:val="single"/>
          <w:lang w:val="en-US" w:eastAsia="zh-CN"/>
        </w:rPr>
        <w:t>23</w:t>
      </w:r>
      <w:r>
        <w:rPr>
          <w:rFonts w:hint="eastAsia" w:ascii="宋体" w:hAnsi="宋体" w:eastAsia="宋体" w:cs="宋体"/>
          <w:color w:val="auto"/>
          <w:sz w:val="24"/>
          <w:szCs w:val="24"/>
          <w:u w:val="single"/>
        </w:rPr>
        <w:t>时</w:t>
      </w:r>
      <w:r>
        <w:rPr>
          <w:rFonts w:hint="eastAsia" w:ascii="宋体" w:hAnsi="宋体" w:eastAsia="宋体" w:cs="宋体"/>
          <w:color w:val="auto"/>
          <w:sz w:val="24"/>
          <w:szCs w:val="24"/>
          <w:u w:val="single"/>
          <w:lang w:val="en-US" w:eastAsia="zh-CN"/>
        </w:rPr>
        <w:t>59分</w:t>
      </w:r>
      <w:r>
        <w:rPr>
          <w:rFonts w:hint="eastAsia" w:ascii="宋体" w:hAnsi="宋体" w:eastAsia="宋体" w:cs="宋体"/>
          <w:color w:val="auto"/>
          <w:sz w:val="24"/>
          <w:szCs w:val="24"/>
        </w:rPr>
        <w:t>（北京时间，法定节假日除外）</w:t>
      </w:r>
    </w:p>
    <w:p w14:paraId="686925EA">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地点：</w:t>
      </w:r>
      <w:r>
        <w:rPr>
          <w:rFonts w:hint="eastAsia" w:ascii="宋体" w:hAnsi="宋体" w:eastAsia="宋体" w:cs="宋体"/>
          <w:color w:val="auto"/>
          <w:sz w:val="24"/>
          <w:szCs w:val="24"/>
          <w:lang w:eastAsia="zh-CN"/>
        </w:rPr>
        <w:t>能信电子招投标交易平台</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https://www.hbnengxin.com//</w:t>
      </w:r>
      <w:r>
        <w:rPr>
          <w:rFonts w:hint="eastAsia" w:ascii="宋体" w:hAnsi="宋体" w:eastAsia="宋体" w:cs="宋体"/>
          <w:color w:val="auto"/>
          <w:sz w:val="24"/>
          <w:szCs w:val="24"/>
        </w:rPr>
        <w:t>)自主网上报名，下载采购文件及相关资料，并及时查看有无澄清和修改。</w:t>
      </w:r>
    </w:p>
    <w:p w14:paraId="492982A3">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方式：</w:t>
      </w:r>
      <w:r>
        <w:rPr>
          <w:rFonts w:hint="eastAsia" w:ascii="宋体" w:hAnsi="宋体" w:eastAsia="宋体" w:cs="宋体"/>
          <w:color w:val="auto"/>
          <w:sz w:val="24"/>
          <w:szCs w:val="24"/>
          <w:lang w:val="en-US" w:eastAsia="zh-CN"/>
        </w:rPr>
        <w:t>其他</w:t>
      </w:r>
      <w:r>
        <w:rPr>
          <w:rFonts w:hint="eastAsia" w:ascii="宋体" w:hAnsi="宋体" w:eastAsia="宋体" w:cs="宋体"/>
          <w:color w:val="auto"/>
          <w:sz w:val="24"/>
          <w:szCs w:val="24"/>
        </w:rPr>
        <w:t xml:space="preserve"> </w:t>
      </w:r>
    </w:p>
    <w:p w14:paraId="3B28D61A">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售价：0</w:t>
      </w:r>
      <w:r>
        <w:rPr>
          <w:rFonts w:hint="eastAsia" w:ascii="宋体" w:hAnsi="宋体" w:eastAsia="宋体" w:cs="宋体"/>
          <w:color w:val="auto"/>
          <w:sz w:val="24"/>
          <w:szCs w:val="24"/>
          <w:lang w:val="en-US" w:eastAsia="zh-CN"/>
        </w:rPr>
        <w:t>元</w:t>
      </w:r>
    </w:p>
    <w:p w14:paraId="7C6DB19E">
      <w:pPr>
        <w:pageBreakBefore w:val="0"/>
        <w:widowControl w:val="0"/>
        <w:overflowPunct/>
        <w:bidi w:val="0"/>
        <w:spacing w:before="184" w:line="219" w:lineRule="auto"/>
        <w:ind w:left="102"/>
        <w:outlineLvl w:val="0"/>
        <w:rPr>
          <w:rFonts w:ascii="宋体" w:hAnsi="宋体" w:eastAsia="宋体" w:cs="宋体"/>
          <w:color w:val="auto"/>
          <w:spacing w:val="-1"/>
          <w:sz w:val="24"/>
          <w:szCs w:val="24"/>
          <w14:textOutline w14:w="4358" w14:cap="flat" w14:cmpd="sng">
            <w14:solidFill>
              <w14:srgbClr w14:val="000000"/>
            </w14:solidFill>
            <w14:prstDash w14:val="solid"/>
            <w14:miter w14:val="0"/>
          </w14:textOutline>
        </w:rPr>
      </w:pPr>
      <w:bookmarkStart w:id="12" w:name="_Toc14555"/>
      <w:bookmarkStart w:id="13" w:name="_Toc32342"/>
      <w:bookmarkStart w:id="14" w:name="_Toc11664"/>
      <w:bookmarkStart w:id="15" w:name="_Toc21404"/>
      <w:r>
        <w:rPr>
          <w:rFonts w:ascii="宋体" w:hAnsi="宋体" w:eastAsia="宋体" w:cs="宋体"/>
          <w:color w:val="auto"/>
          <w:spacing w:val="-1"/>
          <w:sz w:val="24"/>
          <w:szCs w:val="24"/>
          <w14:textOutline w14:w="4358" w14:cap="flat" w14:cmpd="sng">
            <w14:solidFill>
              <w14:srgbClr w14:val="000000"/>
            </w14:solidFill>
            <w14:prstDash w14:val="solid"/>
            <w14:miter w14:val="0"/>
          </w14:textOutline>
        </w:rPr>
        <w:t>四、响应文件提交</w:t>
      </w:r>
      <w:bookmarkEnd w:id="12"/>
      <w:bookmarkEnd w:id="13"/>
      <w:bookmarkEnd w:id="14"/>
      <w:bookmarkEnd w:id="15"/>
    </w:p>
    <w:p w14:paraId="6761C95E">
      <w:pPr>
        <w:pageBreakBefore w:val="0"/>
        <w:widowControl w:val="0"/>
        <w:overflowPunct/>
        <w:bidi w:val="0"/>
        <w:spacing w:before="184" w:line="219" w:lineRule="auto"/>
        <w:ind w:left="488"/>
        <w:rPr>
          <w:rFonts w:ascii="宋体" w:hAnsi="宋体" w:eastAsia="宋体" w:cs="宋体"/>
          <w:color w:val="auto"/>
          <w:sz w:val="24"/>
          <w:szCs w:val="24"/>
        </w:rPr>
      </w:pPr>
      <w:r>
        <w:rPr>
          <w:rFonts w:ascii="宋体" w:hAnsi="宋体" w:eastAsia="宋体" w:cs="宋体"/>
          <w:color w:val="auto"/>
          <w:spacing w:val="-7"/>
          <w:sz w:val="24"/>
          <w:szCs w:val="24"/>
        </w:rPr>
        <w:t>截止时间：</w:t>
      </w:r>
      <w:r>
        <w:rPr>
          <w:rFonts w:hint="eastAsia" w:ascii="宋体" w:hAnsi="宋体" w:eastAsia="宋体" w:cs="宋体"/>
          <w:color w:val="auto"/>
          <w:spacing w:val="-7"/>
          <w:sz w:val="24"/>
          <w:szCs w:val="24"/>
          <w:u w:val="single" w:color="auto"/>
          <w:lang w:eastAsia="zh-CN"/>
        </w:rPr>
        <w:t>202</w:t>
      </w:r>
      <w:r>
        <w:rPr>
          <w:rFonts w:hint="eastAsia" w:ascii="宋体" w:hAnsi="宋体" w:eastAsia="宋体" w:cs="宋体"/>
          <w:color w:val="auto"/>
          <w:spacing w:val="-7"/>
          <w:sz w:val="24"/>
          <w:szCs w:val="24"/>
          <w:u w:val="single" w:color="auto"/>
          <w:lang w:val="en-US" w:eastAsia="zh-CN"/>
        </w:rPr>
        <w:t>6</w:t>
      </w:r>
      <w:r>
        <w:rPr>
          <w:rFonts w:ascii="宋体" w:hAnsi="宋体" w:eastAsia="宋体" w:cs="宋体"/>
          <w:color w:val="auto"/>
          <w:spacing w:val="-7"/>
          <w:sz w:val="24"/>
          <w:szCs w:val="24"/>
          <w:u w:val="single" w:color="auto"/>
        </w:rPr>
        <w:t>年</w:t>
      </w:r>
      <w:r>
        <w:rPr>
          <w:rFonts w:hint="eastAsia" w:ascii="宋体" w:hAnsi="宋体" w:eastAsia="宋体" w:cs="宋体"/>
          <w:color w:val="auto"/>
          <w:spacing w:val="-50"/>
          <w:sz w:val="24"/>
          <w:szCs w:val="24"/>
          <w:u w:val="single" w:color="auto"/>
          <w:lang w:val="en-US" w:eastAsia="zh-CN"/>
        </w:rPr>
        <w:t xml:space="preserve">4 </w:t>
      </w:r>
      <w:r>
        <w:rPr>
          <w:rFonts w:ascii="宋体" w:hAnsi="宋体" w:eastAsia="宋体" w:cs="宋体"/>
          <w:color w:val="auto"/>
          <w:spacing w:val="-7"/>
          <w:sz w:val="24"/>
          <w:szCs w:val="24"/>
          <w:u w:val="single" w:color="auto"/>
        </w:rPr>
        <w:t>月</w:t>
      </w:r>
      <w:r>
        <w:rPr>
          <w:rFonts w:hint="eastAsia" w:ascii="宋体" w:hAnsi="宋体" w:eastAsia="宋体" w:cs="宋体"/>
          <w:color w:val="auto"/>
          <w:spacing w:val="-7"/>
          <w:sz w:val="24"/>
          <w:szCs w:val="24"/>
          <w:u w:val="single" w:color="auto"/>
          <w:lang w:val="en-US" w:eastAsia="zh-CN"/>
        </w:rPr>
        <w:t>28</w:t>
      </w:r>
      <w:r>
        <w:rPr>
          <w:rFonts w:ascii="宋体" w:hAnsi="宋体" w:eastAsia="宋体" w:cs="宋体"/>
          <w:color w:val="auto"/>
          <w:spacing w:val="-7"/>
          <w:sz w:val="24"/>
          <w:szCs w:val="24"/>
          <w:u w:val="single" w:color="auto"/>
        </w:rPr>
        <w:t>日</w:t>
      </w:r>
      <w:r>
        <w:rPr>
          <w:rFonts w:hint="eastAsia" w:ascii="宋体" w:hAnsi="宋体" w:eastAsia="宋体" w:cs="宋体"/>
          <w:color w:val="auto"/>
          <w:spacing w:val="-7"/>
          <w:sz w:val="24"/>
          <w:szCs w:val="24"/>
          <w:u w:val="single" w:color="auto"/>
          <w:lang w:val="en-US" w:eastAsia="zh-CN"/>
        </w:rPr>
        <w:t>9</w:t>
      </w:r>
      <w:r>
        <w:rPr>
          <w:rFonts w:ascii="宋体" w:hAnsi="宋体" w:eastAsia="宋体" w:cs="宋体"/>
          <w:color w:val="auto"/>
          <w:spacing w:val="-7"/>
          <w:sz w:val="24"/>
          <w:szCs w:val="24"/>
          <w:u w:val="single" w:color="auto"/>
        </w:rPr>
        <w:t>点</w:t>
      </w:r>
      <w:r>
        <w:rPr>
          <w:rFonts w:hint="eastAsia" w:ascii="宋体" w:hAnsi="宋体" w:eastAsia="宋体" w:cs="宋体"/>
          <w:color w:val="auto"/>
          <w:spacing w:val="-7"/>
          <w:sz w:val="24"/>
          <w:szCs w:val="24"/>
          <w:u w:val="single" w:color="auto"/>
          <w:lang w:val="en-US" w:eastAsia="zh-CN"/>
        </w:rPr>
        <w:t>3</w:t>
      </w:r>
      <w:r>
        <w:rPr>
          <w:rFonts w:ascii="宋体" w:hAnsi="宋体" w:eastAsia="宋体" w:cs="宋体"/>
          <w:color w:val="auto"/>
          <w:spacing w:val="-7"/>
          <w:sz w:val="24"/>
          <w:szCs w:val="24"/>
          <w:u w:val="single" w:color="auto"/>
        </w:rPr>
        <w:t>0分</w:t>
      </w:r>
      <w:r>
        <w:rPr>
          <w:rFonts w:ascii="宋体" w:hAnsi="宋体" w:eastAsia="宋体" w:cs="宋体"/>
          <w:color w:val="auto"/>
          <w:spacing w:val="-7"/>
          <w:sz w:val="24"/>
          <w:szCs w:val="24"/>
        </w:rPr>
        <w:t>（北京时间）</w:t>
      </w:r>
    </w:p>
    <w:p w14:paraId="37A13A2F">
      <w:pPr>
        <w:pageBreakBefore w:val="0"/>
        <w:widowControl w:val="0"/>
        <w:overflowPunct/>
        <w:bidi w:val="0"/>
        <w:spacing w:before="181" w:line="219" w:lineRule="auto"/>
        <w:ind w:left="489"/>
        <w:rPr>
          <w:rFonts w:ascii="宋体" w:hAnsi="宋体" w:eastAsia="宋体" w:cs="宋体"/>
          <w:color w:val="auto"/>
          <w:sz w:val="24"/>
          <w:szCs w:val="24"/>
        </w:rPr>
      </w:pPr>
      <w:r>
        <w:rPr>
          <w:rFonts w:ascii="宋体" w:hAnsi="宋体" w:eastAsia="宋体" w:cs="宋体"/>
          <w:color w:val="auto"/>
          <w:spacing w:val="-1"/>
          <w:sz w:val="24"/>
          <w:szCs w:val="24"/>
        </w:rPr>
        <w:t>地点：</w:t>
      </w:r>
      <w:r>
        <w:rPr>
          <w:rFonts w:hint="eastAsia" w:ascii="宋体" w:hAnsi="宋体" w:eastAsia="宋体" w:cs="宋体"/>
          <w:color w:val="auto"/>
          <w:spacing w:val="-1"/>
          <w:sz w:val="24"/>
          <w:szCs w:val="24"/>
          <w:lang w:eastAsia="zh-CN"/>
        </w:rPr>
        <w:t>能信电子招投标交易平台</w:t>
      </w:r>
      <w:r>
        <w:rPr>
          <w:rFonts w:ascii="宋体" w:hAnsi="宋体" w:eastAsia="宋体" w:cs="宋体"/>
          <w:color w:val="auto"/>
          <w:spacing w:val="-1"/>
          <w:sz w:val="24"/>
          <w:szCs w:val="24"/>
        </w:rPr>
        <w:t>。</w:t>
      </w:r>
      <w:bookmarkStart w:id="32" w:name="_GoBack"/>
      <w:bookmarkEnd w:id="32"/>
    </w:p>
    <w:p w14:paraId="47FC6B17">
      <w:pPr>
        <w:pageBreakBefore w:val="0"/>
        <w:widowControl w:val="0"/>
        <w:overflowPunct/>
        <w:bidi w:val="0"/>
        <w:spacing w:before="184" w:line="219" w:lineRule="auto"/>
        <w:ind w:left="102"/>
        <w:outlineLvl w:val="0"/>
        <w:rPr>
          <w:rFonts w:ascii="宋体" w:hAnsi="宋体" w:eastAsia="宋体" w:cs="宋体"/>
          <w:color w:val="auto"/>
          <w:spacing w:val="-1"/>
          <w:sz w:val="24"/>
          <w:szCs w:val="24"/>
          <w14:textOutline w14:w="4358" w14:cap="flat" w14:cmpd="sng">
            <w14:solidFill>
              <w14:srgbClr w14:val="000000"/>
            </w14:solidFill>
            <w14:prstDash w14:val="solid"/>
            <w14:miter w14:val="0"/>
          </w14:textOutline>
        </w:rPr>
      </w:pPr>
      <w:bookmarkStart w:id="16" w:name="_Toc13399"/>
      <w:bookmarkStart w:id="17" w:name="_Toc5163"/>
      <w:bookmarkStart w:id="18" w:name="_Toc18662"/>
      <w:bookmarkStart w:id="19" w:name="_Toc17302"/>
      <w:r>
        <w:rPr>
          <w:rFonts w:ascii="宋体" w:hAnsi="宋体" w:eastAsia="宋体" w:cs="宋体"/>
          <w:color w:val="auto"/>
          <w:spacing w:val="-1"/>
          <w:sz w:val="24"/>
          <w:szCs w:val="24"/>
          <w14:textOutline w14:w="4358" w14:cap="flat" w14:cmpd="sng">
            <w14:solidFill>
              <w14:srgbClr w14:val="000000"/>
            </w14:solidFill>
            <w14:prstDash w14:val="solid"/>
            <w14:miter w14:val="0"/>
          </w14:textOutline>
        </w:rPr>
        <w:t>五、开启</w:t>
      </w:r>
      <w:bookmarkEnd w:id="16"/>
      <w:bookmarkEnd w:id="17"/>
      <w:bookmarkEnd w:id="18"/>
      <w:bookmarkEnd w:id="19"/>
    </w:p>
    <w:p w14:paraId="1EAEFF3F">
      <w:pPr>
        <w:pageBreakBefore w:val="0"/>
        <w:widowControl w:val="0"/>
        <w:overflowPunct/>
        <w:bidi w:val="0"/>
        <w:spacing w:before="179" w:line="219" w:lineRule="auto"/>
        <w:ind w:left="500"/>
        <w:rPr>
          <w:rFonts w:ascii="宋体" w:hAnsi="宋体" w:eastAsia="宋体" w:cs="宋体"/>
          <w:color w:val="auto"/>
          <w:sz w:val="24"/>
          <w:szCs w:val="24"/>
        </w:rPr>
      </w:pPr>
      <w:r>
        <w:rPr>
          <w:rFonts w:ascii="宋体" w:hAnsi="宋体" w:eastAsia="宋体" w:cs="宋体"/>
          <w:color w:val="auto"/>
          <w:spacing w:val="-8"/>
          <w:sz w:val="24"/>
          <w:szCs w:val="24"/>
        </w:rPr>
        <w:t>时间：</w:t>
      </w:r>
      <w:r>
        <w:rPr>
          <w:rFonts w:hint="eastAsia" w:ascii="宋体" w:hAnsi="宋体" w:eastAsia="宋体" w:cs="宋体"/>
          <w:color w:val="auto"/>
          <w:spacing w:val="-8"/>
          <w:sz w:val="24"/>
          <w:szCs w:val="24"/>
          <w:u w:val="single" w:color="auto"/>
          <w:lang w:eastAsia="zh-CN"/>
        </w:rPr>
        <w:t>202</w:t>
      </w:r>
      <w:r>
        <w:rPr>
          <w:rFonts w:hint="eastAsia" w:ascii="宋体" w:hAnsi="宋体" w:eastAsia="宋体" w:cs="宋体"/>
          <w:color w:val="auto"/>
          <w:spacing w:val="-8"/>
          <w:sz w:val="24"/>
          <w:szCs w:val="24"/>
          <w:u w:val="single" w:color="auto"/>
          <w:lang w:val="en-US" w:eastAsia="zh-CN"/>
        </w:rPr>
        <w:t>6</w:t>
      </w:r>
      <w:r>
        <w:rPr>
          <w:rFonts w:ascii="宋体" w:hAnsi="宋体" w:eastAsia="宋体" w:cs="宋体"/>
          <w:color w:val="auto"/>
          <w:spacing w:val="-8"/>
          <w:sz w:val="24"/>
          <w:szCs w:val="24"/>
          <w:u w:val="single" w:color="auto"/>
        </w:rPr>
        <w:t>年</w:t>
      </w:r>
      <w:r>
        <w:rPr>
          <w:rFonts w:hint="eastAsia" w:ascii="宋体" w:hAnsi="宋体" w:eastAsia="宋体" w:cs="宋体"/>
          <w:color w:val="auto"/>
          <w:spacing w:val="-50"/>
          <w:sz w:val="24"/>
          <w:szCs w:val="24"/>
          <w:u w:val="single" w:color="auto"/>
          <w:lang w:val="en-US" w:eastAsia="zh-CN"/>
        </w:rPr>
        <w:t xml:space="preserve">4 </w:t>
      </w:r>
      <w:r>
        <w:rPr>
          <w:rFonts w:ascii="宋体" w:hAnsi="宋体" w:eastAsia="宋体" w:cs="宋体"/>
          <w:color w:val="auto"/>
          <w:spacing w:val="-8"/>
          <w:sz w:val="24"/>
          <w:szCs w:val="24"/>
          <w:u w:val="single" w:color="auto"/>
        </w:rPr>
        <w:t>月</w:t>
      </w:r>
      <w:r>
        <w:rPr>
          <w:rFonts w:hint="eastAsia" w:ascii="宋体" w:hAnsi="宋体" w:eastAsia="宋体" w:cs="宋体"/>
          <w:color w:val="auto"/>
          <w:spacing w:val="-8"/>
          <w:sz w:val="24"/>
          <w:szCs w:val="24"/>
          <w:u w:val="single" w:color="auto"/>
          <w:lang w:val="en-US" w:eastAsia="zh-CN"/>
        </w:rPr>
        <w:t>28</w:t>
      </w:r>
      <w:r>
        <w:rPr>
          <w:rFonts w:ascii="宋体" w:hAnsi="宋体" w:eastAsia="宋体" w:cs="宋体"/>
          <w:color w:val="auto"/>
          <w:spacing w:val="-8"/>
          <w:sz w:val="24"/>
          <w:szCs w:val="24"/>
          <w:u w:val="single" w:color="auto"/>
        </w:rPr>
        <w:t>日</w:t>
      </w:r>
      <w:r>
        <w:rPr>
          <w:rFonts w:hint="eastAsia" w:ascii="宋体" w:hAnsi="宋体" w:eastAsia="宋体" w:cs="宋体"/>
          <w:color w:val="auto"/>
          <w:spacing w:val="-8"/>
          <w:sz w:val="24"/>
          <w:szCs w:val="24"/>
          <w:u w:val="single" w:color="auto"/>
          <w:lang w:val="en-US" w:eastAsia="zh-CN"/>
        </w:rPr>
        <w:t>9</w:t>
      </w:r>
      <w:r>
        <w:rPr>
          <w:rFonts w:ascii="宋体" w:hAnsi="宋体" w:eastAsia="宋体" w:cs="宋体"/>
          <w:color w:val="auto"/>
          <w:spacing w:val="-8"/>
          <w:sz w:val="24"/>
          <w:szCs w:val="24"/>
          <w:u w:val="single" w:color="auto"/>
        </w:rPr>
        <w:t>点</w:t>
      </w:r>
      <w:r>
        <w:rPr>
          <w:rFonts w:hint="eastAsia" w:ascii="宋体" w:hAnsi="宋体" w:eastAsia="宋体" w:cs="宋体"/>
          <w:color w:val="auto"/>
          <w:spacing w:val="-8"/>
          <w:sz w:val="24"/>
          <w:szCs w:val="24"/>
          <w:u w:val="single" w:color="auto"/>
          <w:lang w:val="en-US" w:eastAsia="zh-CN"/>
        </w:rPr>
        <w:t>3</w:t>
      </w:r>
      <w:r>
        <w:rPr>
          <w:rFonts w:ascii="宋体" w:hAnsi="宋体" w:eastAsia="宋体" w:cs="宋体"/>
          <w:color w:val="auto"/>
          <w:spacing w:val="-8"/>
          <w:sz w:val="24"/>
          <w:szCs w:val="24"/>
          <w:u w:val="single" w:color="auto"/>
        </w:rPr>
        <w:t>0分</w:t>
      </w:r>
      <w:r>
        <w:rPr>
          <w:rFonts w:ascii="宋体" w:hAnsi="宋体" w:eastAsia="宋体" w:cs="宋体"/>
          <w:color w:val="auto"/>
          <w:spacing w:val="-8"/>
          <w:sz w:val="24"/>
          <w:szCs w:val="24"/>
        </w:rPr>
        <w:t>（北京时间）</w:t>
      </w:r>
    </w:p>
    <w:p w14:paraId="66BA9584">
      <w:pPr>
        <w:pageBreakBefore w:val="0"/>
        <w:widowControl w:val="0"/>
        <w:overflowPunct/>
        <w:bidi w:val="0"/>
        <w:spacing w:before="181" w:line="219" w:lineRule="auto"/>
        <w:ind w:left="489"/>
        <w:rPr>
          <w:rFonts w:hint="default" w:ascii="宋体" w:hAnsi="宋体" w:eastAsia="宋体" w:cs="宋体"/>
          <w:color w:val="auto"/>
          <w:spacing w:val="-1"/>
          <w:sz w:val="24"/>
          <w:szCs w:val="24"/>
          <w:lang w:val="en-US" w:eastAsia="zh-CN"/>
        </w:rPr>
      </w:pPr>
      <w:r>
        <w:rPr>
          <w:rFonts w:ascii="宋体" w:hAnsi="宋体" w:eastAsia="宋体" w:cs="宋体"/>
          <w:color w:val="auto"/>
          <w:spacing w:val="-1"/>
          <w:sz w:val="24"/>
          <w:szCs w:val="24"/>
        </w:rPr>
        <w:t>地点：</w:t>
      </w:r>
      <w:r>
        <w:rPr>
          <w:rFonts w:hint="eastAsia" w:ascii="宋体" w:hAnsi="宋体" w:eastAsia="宋体" w:cs="宋体"/>
          <w:color w:val="auto"/>
          <w:spacing w:val="-1"/>
          <w:sz w:val="24"/>
          <w:szCs w:val="24"/>
          <w:lang w:val="en-US" w:eastAsia="zh-CN"/>
        </w:rPr>
        <w:t>电子平台网上开标大厅。</w:t>
      </w:r>
    </w:p>
    <w:p w14:paraId="1B51686D">
      <w:pPr>
        <w:pageBreakBefore w:val="0"/>
        <w:widowControl w:val="0"/>
        <w:overflowPunct/>
        <w:bidi w:val="0"/>
        <w:spacing w:before="184" w:line="219" w:lineRule="auto"/>
        <w:ind w:left="102"/>
        <w:outlineLvl w:val="0"/>
        <w:rPr>
          <w:rFonts w:ascii="宋体" w:hAnsi="宋体" w:eastAsia="宋体" w:cs="宋体"/>
          <w:color w:val="auto"/>
          <w:spacing w:val="-1"/>
          <w:sz w:val="24"/>
          <w:szCs w:val="24"/>
          <w14:textOutline w14:w="4358" w14:cap="flat" w14:cmpd="sng">
            <w14:solidFill>
              <w14:srgbClr w14:val="000000"/>
            </w14:solidFill>
            <w14:prstDash w14:val="solid"/>
            <w14:miter w14:val="0"/>
          </w14:textOutline>
        </w:rPr>
      </w:pPr>
      <w:bookmarkStart w:id="20" w:name="_Toc18085"/>
      <w:bookmarkStart w:id="21" w:name="_Toc8576"/>
      <w:bookmarkStart w:id="22" w:name="_Toc682"/>
      <w:bookmarkStart w:id="23" w:name="_Toc24918"/>
      <w:r>
        <w:rPr>
          <w:rFonts w:ascii="宋体" w:hAnsi="宋体" w:eastAsia="宋体" w:cs="宋体"/>
          <w:color w:val="auto"/>
          <w:spacing w:val="-1"/>
          <w:sz w:val="24"/>
          <w:szCs w:val="24"/>
          <w14:textOutline w14:w="4358" w14:cap="flat" w14:cmpd="sng">
            <w14:solidFill>
              <w14:srgbClr w14:val="000000"/>
            </w14:solidFill>
            <w14:prstDash w14:val="solid"/>
            <w14:miter w14:val="0"/>
          </w14:textOutline>
        </w:rPr>
        <w:t>六、公告期限</w:t>
      </w:r>
      <w:bookmarkEnd w:id="20"/>
      <w:bookmarkEnd w:id="21"/>
      <w:bookmarkEnd w:id="22"/>
      <w:bookmarkEnd w:id="23"/>
    </w:p>
    <w:p w14:paraId="26228F51">
      <w:pPr>
        <w:pageBreakBefore w:val="0"/>
        <w:widowControl w:val="0"/>
        <w:overflowPunct/>
        <w:bidi w:val="0"/>
        <w:spacing w:before="182" w:line="218" w:lineRule="auto"/>
        <w:ind w:left="528"/>
        <w:rPr>
          <w:rFonts w:ascii="宋体" w:hAnsi="宋体" w:eastAsia="宋体" w:cs="宋体"/>
          <w:color w:val="auto"/>
          <w:sz w:val="24"/>
          <w:szCs w:val="24"/>
        </w:rPr>
      </w:pPr>
      <w:r>
        <w:rPr>
          <w:rFonts w:ascii="宋体" w:hAnsi="宋体" w:eastAsia="宋体" w:cs="宋体"/>
          <w:color w:val="auto"/>
          <w:spacing w:val="-5"/>
          <w:sz w:val="24"/>
          <w:szCs w:val="24"/>
        </w:rPr>
        <w:t>自本公告发布之日起</w:t>
      </w:r>
      <w:r>
        <w:rPr>
          <w:rFonts w:hint="eastAsia" w:ascii="宋体" w:hAnsi="宋体" w:eastAsia="宋体" w:cs="宋体"/>
          <w:color w:val="auto"/>
          <w:spacing w:val="-5"/>
          <w:sz w:val="24"/>
          <w:szCs w:val="24"/>
          <w:lang w:val="en-US" w:eastAsia="zh-CN"/>
        </w:rPr>
        <w:t>5</w:t>
      </w:r>
      <w:r>
        <w:rPr>
          <w:rFonts w:ascii="宋体" w:hAnsi="宋体" w:eastAsia="宋体" w:cs="宋体"/>
          <w:color w:val="auto"/>
          <w:spacing w:val="-5"/>
          <w:sz w:val="24"/>
          <w:szCs w:val="24"/>
        </w:rPr>
        <w:t>个工作日。</w:t>
      </w:r>
    </w:p>
    <w:p w14:paraId="68D82406">
      <w:pPr>
        <w:pageBreakBefore w:val="0"/>
        <w:widowControl w:val="0"/>
        <w:overflowPunct/>
        <w:bidi w:val="0"/>
        <w:spacing w:before="184" w:line="219" w:lineRule="auto"/>
        <w:ind w:left="102"/>
        <w:outlineLvl w:val="0"/>
        <w:rPr>
          <w:rFonts w:ascii="宋体" w:hAnsi="宋体" w:eastAsia="宋体" w:cs="宋体"/>
          <w:color w:val="auto"/>
          <w:spacing w:val="-1"/>
          <w:sz w:val="24"/>
          <w:szCs w:val="24"/>
          <w14:textOutline w14:w="4358" w14:cap="flat" w14:cmpd="sng">
            <w14:solidFill>
              <w14:srgbClr w14:val="000000"/>
            </w14:solidFill>
            <w14:prstDash w14:val="solid"/>
            <w14:miter w14:val="0"/>
          </w14:textOutline>
        </w:rPr>
      </w:pPr>
      <w:bookmarkStart w:id="24" w:name="_Toc22749"/>
      <w:bookmarkStart w:id="25" w:name="_Toc21050"/>
      <w:bookmarkStart w:id="26" w:name="_Toc2957"/>
      <w:bookmarkStart w:id="27" w:name="_Toc19621"/>
      <w:r>
        <w:rPr>
          <w:rFonts w:ascii="宋体" w:hAnsi="宋体" w:eastAsia="宋体" w:cs="宋体"/>
          <w:color w:val="auto"/>
          <w:spacing w:val="-1"/>
          <w:sz w:val="24"/>
          <w:szCs w:val="24"/>
          <w14:textOutline w14:w="4358" w14:cap="flat" w14:cmpd="sng">
            <w14:solidFill>
              <w14:srgbClr w14:val="000000"/>
            </w14:solidFill>
            <w14:prstDash w14:val="solid"/>
            <w14:miter w14:val="0"/>
          </w14:textOutline>
        </w:rPr>
        <w:t>七、其他补充事宜</w:t>
      </w:r>
      <w:bookmarkEnd w:id="24"/>
      <w:bookmarkEnd w:id="25"/>
      <w:bookmarkEnd w:id="26"/>
      <w:bookmarkEnd w:id="27"/>
    </w:p>
    <w:p w14:paraId="5C05E8C6">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（1）本次招标为全流程电子招投标，投标人无须到达开标现场。投标文件采用数据电子文件，投标人在任意地点登录能信电子招投标交易平台远程在线参与开标活动。</w:t>
      </w:r>
    </w:p>
    <w:p w14:paraId="32028C58">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凡有意参加投标者，请按照“能信电子招投标交易平台首页注册账号。已在能信电子招投标交易平台(https://www.hbnengxin.com//)通过注册登记且在有效期内的投标人不需要再次办理相关手续。潜在投标人如未及时在“能信电子招投标交易平台(https://www.hbnengxin.com//) ”下载招标文件及相关资料，或未获取到完整资料，导致投标被否决，自行承担责任</w:t>
      </w:r>
      <w:r>
        <w:rPr>
          <w:rFonts w:hint="eastAsia" w:ascii="宋体" w:hAnsi="宋体" w:eastAsia="宋体" w:cs="宋体"/>
          <w:color w:val="auto"/>
          <w:sz w:val="24"/>
          <w:szCs w:val="24"/>
        </w:rPr>
        <w:t>。</w:t>
      </w:r>
    </w:p>
    <w:p w14:paraId="2934D01F">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）提出异议渠道和方式：</w:t>
      </w:r>
      <w:r>
        <w:rPr>
          <w:rFonts w:hint="eastAsia" w:ascii="宋体" w:hAnsi="宋体" w:eastAsia="宋体" w:cs="宋体"/>
          <w:color w:val="auto"/>
          <w:sz w:val="24"/>
          <w:szCs w:val="24"/>
          <w:lang w:val="en-US" w:eastAsia="zh-CN"/>
        </w:rPr>
        <w:t>中宇信达项目管理有限公司</w:t>
      </w: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 xml:space="preserve"> 地 址：河北省石家庄市桥西区中山西路108号万象城A座30层3007 联系方式：付锡义/武胜楠  0311-86076045</w:t>
      </w:r>
      <w:r>
        <w:rPr>
          <w:rFonts w:hint="eastAsia" w:ascii="宋体" w:hAnsi="宋体" w:eastAsia="宋体" w:cs="宋体"/>
          <w:color w:val="auto"/>
          <w:spacing w:val="0"/>
          <w:kern w:val="0"/>
          <w:sz w:val="24"/>
          <w:szCs w:val="24"/>
          <w:u w:val="none" w:color="auto"/>
          <w:lang w:val="en-US" w:eastAsia="zh-CN"/>
        </w:rPr>
        <w:t xml:space="preserve"> </w:t>
      </w:r>
      <w:r>
        <w:rPr>
          <w:rFonts w:hint="eastAsia" w:ascii="宋体" w:hAnsi="宋体" w:eastAsia="宋体" w:cs="宋体"/>
          <w:color w:val="auto"/>
          <w:sz w:val="24"/>
          <w:szCs w:val="24"/>
        </w:rPr>
        <w:t xml:space="preserve"> </w:t>
      </w:r>
    </w:p>
    <w:p w14:paraId="40E7D5FA">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ascii="宋体" w:hAnsi="宋体" w:eastAsia="宋体" w:cs="宋体"/>
          <w:color w:val="auto"/>
          <w:sz w:val="24"/>
          <w:szCs w:val="24"/>
          <w14:textOutline w14:w="4358" w14:cap="flat" w14:cmpd="sng">
            <w14:solidFill>
              <w14:srgbClr w14:val="000000"/>
            </w14:solidFill>
            <w14:prstDash w14:val="solid"/>
            <w14:miter w14:val="0"/>
          </w14:textOutline>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）本公告发布媒体：</w:t>
      </w:r>
      <w:r>
        <w:rPr>
          <w:rFonts w:hint="eastAsia"/>
          <w:b w:val="0"/>
          <w:bCs/>
          <w:color w:val="auto"/>
          <w:sz w:val="24"/>
          <w:szCs w:val="24"/>
          <w:highlight w:val="none"/>
          <w:lang w:eastAsia="zh-CN"/>
        </w:rPr>
        <w:t>能信电子招投标交易平台、</w:t>
      </w:r>
      <w:r>
        <w:rPr>
          <w:rFonts w:hint="eastAsia"/>
          <w:color w:val="auto"/>
          <w:sz w:val="24"/>
          <w:szCs w:val="24"/>
          <w:highlight w:val="none"/>
          <w:lang w:eastAsia="zh-CN"/>
        </w:rPr>
        <w:t>石家庄市城市管理综合行政执法局官网</w:t>
      </w:r>
      <w:r>
        <w:rPr>
          <w:rFonts w:hint="eastAsia" w:ascii="宋体" w:hAnsi="宋体" w:eastAsia="宋体" w:cs="宋体"/>
          <w:color w:val="auto"/>
          <w:sz w:val="24"/>
          <w:szCs w:val="24"/>
        </w:rPr>
        <w:t>。</w:t>
      </w:r>
    </w:p>
    <w:p w14:paraId="7A5F35D7">
      <w:pPr>
        <w:pageBreakBefore w:val="0"/>
        <w:widowControl w:val="0"/>
        <w:overflowPunct/>
        <w:bidi w:val="0"/>
        <w:spacing w:before="184" w:line="219" w:lineRule="auto"/>
        <w:ind w:left="102"/>
        <w:outlineLvl w:val="0"/>
        <w:rPr>
          <w:rFonts w:ascii="宋体" w:hAnsi="宋体" w:eastAsia="宋体" w:cs="宋体"/>
          <w:color w:val="auto"/>
          <w:spacing w:val="-1"/>
          <w:sz w:val="24"/>
          <w:szCs w:val="24"/>
          <w14:textOutline w14:w="4358" w14:cap="flat" w14:cmpd="sng">
            <w14:solidFill>
              <w14:srgbClr w14:val="000000"/>
            </w14:solidFill>
            <w14:prstDash w14:val="solid"/>
            <w14:miter w14:val="0"/>
          </w14:textOutline>
        </w:rPr>
      </w:pPr>
      <w:bookmarkStart w:id="28" w:name="_Toc31824"/>
      <w:bookmarkStart w:id="29" w:name="_Toc22963"/>
      <w:bookmarkStart w:id="30" w:name="_Toc2485"/>
      <w:bookmarkStart w:id="31" w:name="_Toc7460"/>
      <w:r>
        <w:rPr>
          <w:rFonts w:ascii="宋体" w:hAnsi="宋体" w:eastAsia="宋体" w:cs="宋体"/>
          <w:color w:val="auto"/>
          <w:spacing w:val="-1"/>
          <w:sz w:val="24"/>
          <w:szCs w:val="24"/>
          <w14:textOutline w14:w="4358" w14:cap="flat" w14:cmpd="sng">
            <w14:solidFill>
              <w14:srgbClr w14:val="000000"/>
            </w14:solidFill>
            <w14:prstDash w14:val="solid"/>
            <w14:miter w14:val="0"/>
          </w14:textOutline>
        </w:rPr>
        <w:t>八、凡对本次采购提出询问，请按以下方式联系。</w:t>
      </w:r>
      <w:bookmarkEnd w:id="28"/>
      <w:bookmarkEnd w:id="29"/>
      <w:bookmarkEnd w:id="30"/>
      <w:bookmarkEnd w:id="31"/>
    </w:p>
    <w:p w14:paraId="474D3E66">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1.采购人信息</w:t>
      </w:r>
    </w:p>
    <w:p w14:paraId="2E72673D">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名 称：石家庄市城市管理便民服务中心</w:t>
      </w:r>
    </w:p>
    <w:p w14:paraId="767BE737">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地址：石家庄市长安区建设南大街35号</w:t>
      </w:r>
    </w:p>
    <w:p w14:paraId="7CF3EAD9">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联系人：傅海宽</w:t>
      </w:r>
    </w:p>
    <w:p w14:paraId="22A1E23C">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联系方式：0311-80721087</w:t>
      </w:r>
    </w:p>
    <w:p w14:paraId="6CE6EEAD">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采购代理机构信息</w:t>
      </w:r>
    </w:p>
    <w:p w14:paraId="13CFF8E0">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名 称：中宇信达项目管理有限公司</w:t>
      </w:r>
    </w:p>
    <w:p w14:paraId="75C41DC5">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地　址：河北省石家庄桥西区中山西路108号华润万象城A座30层</w:t>
      </w:r>
    </w:p>
    <w:p w14:paraId="1AD4F38D">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联系方式：曹利明  0311-86076045</w:t>
      </w:r>
    </w:p>
    <w:p w14:paraId="4CC3CEB2">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3.项目联系方式</w:t>
      </w:r>
    </w:p>
    <w:p w14:paraId="2D8E68E9">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项目联系人：曹利明</w:t>
      </w:r>
    </w:p>
    <w:p w14:paraId="7925F99A">
      <w:pPr>
        <w:keepNext w:val="0"/>
        <w:keepLines w:val="0"/>
        <w:pageBreakBefore w:val="0"/>
        <w:widowControl w:val="0"/>
        <w:kinsoku w:val="0"/>
        <w:wordWrap w:val="0"/>
        <w:overflowPunct/>
        <w:topLinePunct/>
        <w:autoSpaceDE/>
        <w:autoSpaceDN w:val="0"/>
        <w:bidi w:val="0"/>
        <w:adjustRightInd w:val="0"/>
        <w:snapToGrid w:val="0"/>
        <w:spacing w:line="440" w:lineRule="exact"/>
        <w:ind w:firstLine="480" w:firstLineChars="200"/>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电　话：0311-86076045</w:t>
      </w:r>
    </w:p>
    <w:p w14:paraId="6B4323D6">
      <w:pPr>
        <w:rPr>
          <w:color w:val="auto"/>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9EE57EF"/>
    <w:rsid w:val="5D374A9F"/>
    <w:rsid w:val="7F3F11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left="200" w:firstLine="200" w:firstLineChars="200"/>
    </w:pPr>
    <w:rPr>
      <w:sz w:val="24"/>
    </w:rPr>
  </w:style>
  <w:style w:type="paragraph" w:styleId="3">
    <w:name w:val="Body Text Indent"/>
    <w:basedOn w:val="1"/>
    <w:next w:val="4"/>
    <w:qFormat/>
    <w:uiPriority w:val="0"/>
    <w:pPr>
      <w:spacing w:after="120"/>
      <w:ind w:left="420" w:leftChars="200"/>
    </w:pPr>
  </w:style>
  <w:style w:type="paragraph" w:styleId="4">
    <w:name w:val="envelope return"/>
    <w:basedOn w:val="1"/>
    <w:next w:val="1"/>
    <w:unhideWhenUsed/>
    <w:qFormat/>
    <w:uiPriority w:val="99"/>
    <w:pPr>
      <w:snapToGrid w:val="0"/>
    </w:pPr>
    <w:rPr>
      <w:rFonts w:ascii="Arial" w:hAnsi="Arial"/>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宋体" w:hAnsi="宋体" w:eastAsia="宋体" w:cs="宋体"/>
      <w:sz w:val="31"/>
      <w:szCs w:val="31"/>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1295</Words>
  <Characters>1539</Characters>
  <Lines>0</Lines>
  <Paragraphs>0</Paragraphs>
  <TotalTime>6</TotalTime>
  <ScaleCrop>false</ScaleCrop>
  <LinksUpToDate>false</LinksUpToDate>
  <CharactersWithSpaces>1559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2026-04-15T03:07:00Z</dcterms:created>
  <dc:creator>Administrator</dc:creator>
  <cp:lastModifiedBy>Administrator</cp:lastModifiedBy>
  <dcterms:modified xsi:type="dcterms:W3CDTF">2026-04-16T02:38:08Z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eyJoZGlkIjoiM2RhM2ZjNDU2YTYxNzk4N2I4OGNiOTMzYzExMGYwYzkiLCJ1c2VySWQiOiI0MTcyNDg3MjEifQ==</vt:lpwstr>
  </property>
  <property fmtid="{D5CDD505-2E9C-101B-9397-08002B2CF9AE}" pid="4" name="ICV">
    <vt:lpwstr>E4FB37EEF9284CB695694C0DFFDAFEB8_12</vt:lpwstr>
  </property>
</Properties>
</file>